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
      <w:pPr>
        <w:rPr>
          <w:b/>
          <w:sz w:val="32"/>
          <w:szCs w:val="32"/>
        </w:rPr>
      </w:pPr>
      <w:r>
        <w:rPr>
          <w:b/>
          <w:bCs/>
          <w:sz w:val="32"/>
          <w:szCs w:val="32"/>
        </w:rPr>
        <w:t>План на часот</w:t>
      </w:r>
    </w:p>
    <w:p>
      <w:pPr>
        <w:rPr>
          <w:sz w:val="28"/>
          <w:szCs w:val="28"/>
        </w:rPr>
      </w:pPr>
    </w:p>
    <w:p>
      <w:pPr>
        <w:rPr>
          <w:b/>
          <w:color w:val="806000" w:themeColor="accent4" w:themeShade="80"/>
          <w:sz w:val="28"/>
          <w:szCs w:val="28"/>
        </w:rPr>
      </w:pPr>
      <w:r>
        <w:rPr>
          <w:sz w:val="28"/>
          <w:szCs w:val="28"/>
        </w:rPr>
        <w:t xml:space="preserve">Час 1.3.4 Меѓународна соработка </w:t>
      </w:r>
    </w:p>
    <w:tbl>
      <w:tblPr>
        <w:tblStyle w:val="TableGrid"/>
        <w:tblW w:w="0" w:type="auto"/>
        <w:tblLook w:val="04A0" w:firstRow="1" w:lastRow="0" w:firstColumn="1" w:lastColumn="0" w:noHBand="0" w:noVBand="1"/>
      </w:tblPr>
      <w:tblGrid>
        <w:gridCol w:w="1615"/>
        <w:gridCol w:w="4711"/>
        <w:gridCol w:w="2684"/>
      </w:tblGrid>
      <w:tr>
        <w:trPr>
          <w:trHeight w:val="872"/>
        </w:trPr>
        <w:tc>
          <w:tcPr>
            <w:tcW w:w="6326" w:type="dxa"/>
            <w:gridSpan w:val="2"/>
            <w:shd w:val="clear" w:color="auto" w:fill="DEEAF6" w:themeFill="accent5" w:themeFillTint="33"/>
            <w:vAlign w:val="center"/>
          </w:tcPr>
          <w:p>
            <w:pPr>
              <w:rPr>
                <w:sz w:val="22"/>
                <w:szCs w:val="22"/>
              </w:rPr>
            </w:pPr>
            <w:r>
              <w:rPr>
                <w:sz w:val="22"/>
                <w:szCs w:val="22"/>
              </w:rPr>
              <w:t>Час 1.3.3 Меѓународна соработка</w:t>
            </w:r>
          </w:p>
        </w:tc>
        <w:tc>
          <w:tcPr>
            <w:tcW w:w="2684" w:type="dxa"/>
            <w:shd w:val="clear" w:color="auto" w:fill="DEEAF6" w:themeFill="accent5" w:themeFillTint="33"/>
            <w:vAlign w:val="center"/>
          </w:tcPr>
          <w:p>
            <w:pPr>
              <w:rPr>
                <w:sz w:val="22"/>
                <w:szCs w:val="22"/>
              </w:rPr>
            </w:pPr>
            <w:r>
              <w:rPr>
                <w:sz w:val="22"/>
                <w:szCs w:val="22"/>
              </w:rPr>
              <w:t xml:space="preserve">Траење: </w:t>
            </w:r>
          </w:p>
          <w:p>
            <w:pPr>
              <w:rPr>
                <w:sz w:val="22"/>
                <w:szCs w:val="22"/>
              </w:rPr>
            </w:pPr>
            <w:r>
              <w:rPr>
                <w:sz w:val="22"/>
                <w:szCs w:val="22"/>
              </w:rPr>
              <w:t>120 минути</w:t>
            </w:r>
          </w:p>
        </w:tc>
      </w:tr>
      <w:tr>
        <w:trPr>
          <w:trHeight w:val="2155"/>
        </w:trPr>
        <w:tc>
          <w:tcPr>
            <w:tcW w:w="9010" w:type="dxa"/>
            <w:gridSpan w:val="3"/>
            <w:vAlign w:val="center"/>
          </w:tcPr>
          <w:p>
            <w:pPr>
              <w:jc w:val="left"/>
              <w:rPr>
                <w:b/>
                <w:sz w:val="22"/>
                <w:szCs w:val="22"/>
              </w:rPr>
            </w:pPr>
            <w:r>
              <w:rPr>
                <w:b/>
                <w:bCs/>
                <w:sz w:val="22"/>
                <w:szCs w:val="22"/>
              </w:rPr>
              <w:t xml:space="preserve">Потребни ресурси: </w:t>
            </w:r>
          </w:p>
          <w:p>
            <w:pPr>
              <w:pStyle w:val="NormalWeb"/>
              <w:numPr>
                <w:ilvl w:val="0"/>
                <w:numId w:val="8"/>
              </w:numPr>
              <w:rPr>
                <w:rFonts w:ascii="Verdana" w:hAnsi="Verdana"/>
              </w:rPr>
            </w:pPr>
            <w:r>
              <w:rPr>
                <w:rFonts w:ascii="Verdana" w:hAnsi="Verdana"/>
              </w:rPr>
              <w:t>Лаптоп или персонален компјутер со инсталиран Windows 7, 8 или 10 и со Microsoft Office 2010 или понов</w:t>
            </w:r>
          </w:p>
          <w:p>
            <w:pPr>
              <w:pStyle w:val="NormalWeb"/>
              <w:numPr>
                <w:ilvl w:val="0"/>
                <w:numId w:val="8"/>
              </w:numPr>
              <w:rPr>
                <w:rFonts w:ascii="Verdana" w:hAnsi="Verdana"/>
              </w:rPr>
            </w:pPr>
            <w:r>
              <w:rPr>
                <w:rFonts w:ascii="Verdana" w:hAnsi="Verdana"/>
              </w:rPr>
              <w:t xml:space="preserve">Проектор и платно за проектирање </w:t>
            </w:r>
          </w:p>
          <w:p>
            <w:pPr>
              <w:pStyle w:val="NormalWeb"/>
              <w:numPr>
                <w:ilvl w:val="0"/>
                <w:numId w:val="8"/>
              </w:numPr>
              <w:rPr>
                <w:rFonts w:ascii="Verdana" w:hAnsi="Verdana"/>
              </w:rPr>
            </w:pPr>
            <w:r>
              <w:rPr>
                <w:rFonts w:ascii="Verdana" w:hAnsi="Verdana"/>
              </w:rPr>
              <w:t>Бела табла, флип-чарт табла или друга техника за евидентирање на инпутите на учесниците</w:t>
            </w:r>
          </w:p>
          <w:p>
            <w:pPr>
              <w:pStyle w:val="NormalWeb"/>
              <w:numPr>
                <w:ilvl w:val="0"/>
                <w:numId w:val="8"/>
              </w:numPr>
              <w:rPr>
                <w:rFonts w:ascii="Verdana" w:hAnsi="Verdana"/>
              </w:rPr>
            </w:pPr>
            <w:r>
              <w:rPr>
                <w:rFonts w:ascii="Verdana" w:hAnsi="Verdana"/>
              </w:rPr>
              <w:t>Овие ресурси се потребни само ако инструкторот користи PowerPoint презентација</w:t>
            </w:r>
          </w:p>
        </w:tc>
      </w:tr>
      <w:tr>
        <w:trPr>
          <w:trHeight w:val="1907"/>
        </w:trPr>
        <w:tc>
          <w:tcPr>
            <w:tcW w:w="9010" w:type="dxa"/>
            <w:gridSpan w:val="3"/>
            <w:vAlign w:val="center"/>
          </w:tcPr>
          <w:p>
            <w:pPr>
              <w:rPr>
                <w:b/>
                <w:sz w:val="22"/>
              </w:rPr>
            </w:pPr>
            <w:r>
              <w:rPr>
                <w:b/>
                <w:bCs/>
                <w:sz w:val="22"/>
              </w:rPr>
              <w:t>Цел на сесијата:</w:t>
            </w:r>
          </w:p>
          <w:p>
            <w:r>
              <w:t>Информирање на учесниците за меѓународната соработка во финансиските истраги и истрагите за компјутерски криминал.</w:t>
            </w:r>
          </w:p>
        </w:tc>
      </w:tr>
      <w:tr>
        <w:trPr>
          <w:trHeight w:val="1997"/>
        </w:trPr>
        <w:tc>
          <w:tcPr>
            <w:tcW w:w="9010" w:type="dxa"/>
            <w:gridSpan w:val="3"/>
            <w:vAlign w:val="center"/>
          </w:tcPr>
          <w:p>
            <w:pPr>
              <w:rPr>
                <w:b/>
                <w:sz w:val="22"/>
                <w:szCs w:val="22"/>
              </w:rPr>
            </w:pPr>
            <w:r>
              <w:rPr>
                <w:b/>
                <w:bCs/>
                <w:sz w:val="22"/>
                <w:szCs w:val="22"/>
              </w:rPr>
              <w:t>Потесни цели:</w:t>
            </w:r>
          </w:p>
          <w:p/>
          <w:p>
            <w:r>
              <w:t>На крајот на часот учесниците ќе бидат во можност да:</w:t>
            </w:r>
          </w:p>
          <w:p>
            <w:pPr>
              <w:pStyle w:val="bul1"/>
              <w:numPr>
                <w:ilvl w:val="0"/>
                <w:numId w:val="36"/>
              </w:numPr>
              <w:spacing w:line="280" w:lineRule="exact"/>
              <w:ind w:left="697"/>
              <w:contextualSpacing/>
            </w:pPr>
            <w:r>
              <w:t>Ја објаснат важноста од меѓународната соработка во таргетирањето на имотна корист стекната со кривично дело преку интернет</w:t>
            </w:r>
          </w:p>
          <w:p>
            <w:pPr>
              <w:pStyle w:val="bul1"/>
              <w:numPr>
                <w:ilvl w:val="0"/>
                <w:numId w:val="36"/>
              </w:numPr>
              <w:spacing w:line="280" w:lineRule="exact"/>
              <w:ind w:left="697"/>
              <w:contextualSpacing/>
            </w:pPr>
            <w:r>
              <w:t>Ги објаснат предностите од комбинирање на начините на меѓународна соработка во областа на компјутерскиот криминал и на електронските докази, на финансиската истрага и на перењето пари</w:t>
            </w:r>
          </w:p>
          <w:p>
            <w:pPr>
              <w:pStyle w:val="bul1"/>
              <w:numPr>
                <w:ilvl w:val="0"/>
                <w:numId w:val="36"/>
              </w:numPr>
              <w:spacing w:line="280" w:lineRule="exact"/>
              <w:ind w:left="697"/>
              <w:contextualSpacing/>
            </w:pPr>
            <w:r>
              <w:t>Ја разграничат меѓународната соработка за размена на информации и за меѓусебна правна помош</w:t>
            </w:r>
          </w:p>
          <w:p>
            <w:pPr>
              <w:pStyle w:val="bul1"/>
              <w:numPr>
                <w:ilvl w:val="0"/>
                <w:numId w:val="36"/>
              </w:numPr>
              <w:spacing w:line="280" w:lineRule="exact"/>
              <w:ind w:left="697"/>
              <w:contextualSpacing/>
            </w:pPr>
            <w:r>
              <w:t>Ги набројат релевантните меѓународни мрежи и организации за размена на информации</w:t>
            </w:r>
          </w:p>
          <w:p>
            <w:pPr>
              <w:pStyle w:val="bul1"/>
              <w:numPr>
                <w:ilvl w:val="0"/>
                <w:numId w:val="36"/>
              </w:numPr>
              <w:spacing w:line="280" w:lineRule="exact"/>
              <w:ind w:left="697"/>
              <w:contextualSpacing/>
            </w:pPr>
            <w:r>
              <w:t>Ги опишат природата, целта и процесот на меѓусебната правна помош (mutual legal assistance / MLA)</w:t>
            </w:r>
          </w:p>
          <w:p>
            <w:pPr>
              <w:pStyle w:val="bul1"/>
              <w:numPr>
                <w:ilvl w:val="0"/>
                <w:numId w:val="36"/>
              </w:numPr>
              <w:spacing w:line="280" w:lineRule="exact"/>
              <w:ind w:left="697"/>
              <w:contextualSpacing/>
            </w:pPr>
            <w:r>
              <w:t>Ги претстават релевантните меѓународни правни инструменти</w:t>
            </w:r>
          </w:p>
          <w:p>
            <w:pPr>
              <w:pStyle w:val="bul1"/>
              <w:numPr>
                <w:ilvl w:val="0"/>
                <w:numId w:val="36"/>
              </w:numPr>
              <w:spacing w:line="280" w:lineRule="exact"/>
              <w:ind w:left="697"/>
              <w:contextualSpacing/>
            </w:pPr>
            <w:r>
              <w:t>Ги идентификуваат релевантните одредби на конвенциите од Будимпешта и од Варшава за да бидат во можност да ги користат соодветно</w:t>
            </w:r>
          </w:p>
          <w:p>
            <w:pPr>
              <w:pStyle w:val="ListParagraph"/>
              <w:rPr>
                <w:lang w:val="de-DE"/>
              </w:rPr>
            </w:pPr>
          </w:p>
        </w:tc>
      </w:tr>
      <w:tr>
        <w:trPr>
          <w:trHeight w:val="2258"/>
        </w:trPr>
        <w:tc>
          <w:tcPr>
            <w:tcW w:w="9010" w:type="dxa"/>
            <w:gridSpan w:val="3"/>
            <w:tcBorders>
              <w:bottom w:val="single" w:sz="4" w:space="0" w:color="auto"/>
            </w:tcBorders>
            <w:vAlign w:val="center"/>
          </w:tcPr>
          <w:p>
            <w:pPr>
              <w:rPr>
                <w:b/>
                <w:sz w:val="22"/>
                <w:szCs w:val="22"/>
                <w:lang w:val="de-DE"/>
              </w:rPr>
            </w:pPr>
            <w:r>
              <w:rPr>
                <w:b/>
                <w:bCs/>
                <w:sz w:val="22"/>
                <w:szCs w:val="22"/>
              </w:rPr>
              <w:lastRenderedPageBreak/>
              <w:t>Насоки</w:t>
            </w:r>
            <w:r>
              <w:rPr>
                <w:b/>
                <w:bCs/>
                <w:sz w:val="22"/>
                <w:szCs w:val="22"/>
                <w:lang w:val="de-DE"/>
              </w:rPr>
              <w:t xml:space="preserve"> </w:t>
            </w:r>
            <w:r>
              <w:rPr>
                <w:b/>
                <w:bCs/>
                <w:sz w:val="22"/>
                <w:szCs w:val="22"/>
              </w:rPr>
              <w:t>за</w:t>
            </w:r>
            <w:r>
              <w:rPr>
                <w:b/>
                <w:bCs/>
                <w:sz w:val="22"/>
                <w:szCs w:val="22"/>
                <w:lang w:val="de-DE"/>
              </w:rPr>
              <w:t xml:space="preserve"> </w:t>
            </w:r>
            <w:r>
              <w:rPr>
                <w:b/>
                <w:bCs/>
                <w:sz w:val="22"/>
                <w:szCs w:val="22"/>
              </w:rPr>
              <w:t>инструкторот</w:t>
            </w:r>
          </w:p>
          <w:p>
            <w:pPr>
              <w:rPr>
                <w:lang w:val="de-DE"/>
              </w:rPr>
            </w:pPr>
            <w:r>
              <w:t>Во</w:t>
            </w:r>
            <w:r>
              <w:rPr>
                <w:lang w:val="de-DE"/>
              </w:rPr>
              <w:t xml:space="preserve"> </w:t>
            </w:r>
            <w:r>
              <w:t>рамките</w:t>
            </w:r>
            <w:r>
              <w:rPr>
                <w:lang w:val="de-DE"/>
              </w:rPr>
              <w:t xml:space="preserve"> </w:t>
            </w:r>
            <w:r>
              <w:t>на</w:t>
            </w:r>
            <w:r>
              <w:rPr>
                <w:lang w:val="de-DE"/>
              </w:rPr>
              <w:t xml:space="preserve"> </w:t>
            </w:r>
            <w:r>
              <w:t>оваа</w:t>
            </w:r>
            <w:r>
              <w:rPr>
                <w:lang w:val="de-DE"/>
              </w:rPr>
              <w:t xml:space="preserve"> </w:t>
            </w:r>
            <w:r>
              <w:t>сесија</w:t>
            </w:r>
            <w:r>
              <w:rPr>
                <w:lang w:val="de-DE"/>
              </w:rPr>
              <w:t xml:space="preserve"> </w:t>
            </w:r>
            <w:r>
              <w:t>се</w:t>
            </w:r>
            <w:r>
              <w:rPr>
                <w:lang w:val="de-DE"/>
              </w:rPr>
              <w:t xml:space="preserve"> </w:t>
            </w:r>
            <w:r>
              <w:t>презентираат</w:t>
            </w:r>
            <w:r>
              <w:rPr>
                <w:lang w:val="de-DE"/>
              </w:rPr>
              <w:t xml:space="preserve"> </w:t>
            </w:r>
            <w:r>
              <w:t>информации</w:t>
            </w:r>
            <w:r>
              <w:rPr>
                <w:lang w:val="de-DE"/>
              </w:rPr>
              <w:t xml:space="preserve"> </w:t>
            </w:r>
            <w:r>
              <w:t>за</w:t>
            </w:r>
            <w:r>
              <w:rPr>
                <w:lang w:val="de-DE"/>
              </w:rPr>
              <w:t xml:space="preserve"> </w:t>
            </w:r>
            <w:r>
              <w:t>методологиите</w:t>
            </w:r>
            <w:r>
              <w:rPr>
                <w:lang w:val="de-DE"/>
              </w:rPr>
              <w:t xml:space="preserve"> </w:t>
            </w:r>
            <w:r>
              <w:t>на</w:t>
            </w:r>
            <w:r>
              <w:rPr>
                <w:lang w:val="de-DE"/>
              </w:rPr>
              <w:t xml:space="preserve"> </w:t>
            </w:r>
            <w:r>
              <w:t>меѓународната</w:t>
            </w:r>
            <w:r>
              <w:rPr>
                <w:lang w:val="de-DE"/>
              </w:rPr>
              <w:t xml:space="preserve"> </w:t>
            </w:r>
            <w:r>
              <w:t>соработка</w:t>
            </w:r>
            <w:r>
              <w:rPr>
                <w:lang w:val="de-DE"/>
              </w:rPr>
              <w:t xml:space="preserve"> </w:t>
            </w:r>
            <w:r>
              <w:t>во</w:t>
            </w:r>
            <w:r>
              <w:rPr>
                <w:lang w:val="de-DE"/>
              </w:rPr>
              <w:t xml:space="preserve"> </w:t>
            </w:r>
            <w:r>
              <w:t>финансиските</w:t>
            </w:r>
            <w:r>
              <w:rPr>
                <w:lang w:val="de-DE"/>
              </w:rPr>
              <w:t xml:space="preserve"> </w:t>
            </w:r>
            <w:r>
              <w:t>истраги</w:t>
            </w:r>
            <w:r>
              <w:rPr>
                <w:lang w:val="de-DE"/>
              </w:rPr>
              <w:t xml:space="preserve"> </w:t>
            </w:r>
            <w:r>
              <w:t>и</w:t>
            </w:r>
            <w:r>
              <w:rPr>
                <w:lang w:val="de-DE"/>
              </w:rPr>
              <w:t xml:space="preserve"> </w:t>
            </w:r>
            <w:r>
              <w:t>во</w:t>
            </w:r>
            <w:r>
              <w:rPr>
                <w:lang w:val="de-DE"/>
              </w:rPr>
              <w:t xml:space="preserve"> </w:t>
            </w:r>
            <w:r>
              <w:t>истрагите</w:t>
            </w:r>
            <w:r>
              <w:rPr>
                <w:lang w:val="de-DE"/>
              </w:rPr>
              <w:t xml:space="preserve"> </w:t>
            </w:r>
            <w:r>
              <w:t>за</w:t>
            </w:r>
            <w:r>
              <w:rPr>
                <w:lang w:val="de-DE"/>
              </w:rPr>
              <w:t xml:space="preserve"> </w:t>
            </w:r>
            <w:r>
              <w:t>компјутерски</w:t>
            </w:r>
            <w:r>
              <w:rPr>
                <w:lang w:val="de-DE"/>
              </w:rPr>
              <w:t xml:space="preserve"> </w:t>
            </w:r>
            <w:r>
              <w:t>криминал</w:t>
            </w:r>
            <w:r>
              <w:rPr>
                <w:lang w:val="de-DE"/>
              </w:rPr>
              <w:t>.</w:t>
            </w:r>
          </w:p>
          <w:p>
            <w:pPr>
              <w:rPr>
                <w:lang w:val="de-DE"/>
              </w:rPr>
            </w:pPr>
            <w:r>
              <w:t>Сите</w:t>
            </w:r>
            <w:r>
              <w:rPr>
                <w:lang w:val="de-DE"/>
              </w:rPr>
              <w:t xml:space="preserve"> </w:t>
            </w:r>
            <w:r>
              <w:t>информации</w:t>
            </w:r>
            <w:r>
              <w:rPr>
                <w:lang w:val="de-DE"/>
              </w:rPr>
              <w:t xml:space="preserve"> </w:t>
            </w:r>
            <w:r>
              <w:t>за</w:t>
            </w:r>
            <w:r>
              <w:rPr>
                <w:lang w:val="de-DE"/>
              </w:rPr>
              <w:t xml:space="preserve"> </w:t>
            </w:r>
            <w:r>
              <w:t>оваа</w:t>
            </w:r>
            <w:r>
              <w:rPr>
                <w:lang w:val="de-DE"/>
              </w:rPr>
              <w:t xml:space="preserve"> </w:t>
            </w:r>
            <w:r>
              <w:t>сесија</w:t>
            </w:r>
            <w:r>
              <w:rPr>
                <w:lang w:val="de-DE"/>
              </w:rPr>
              <w:t xml:space="preserve"> </w:t>
            </w:r>
            <w:r>
              <w:t>се</w:t>
            </w:r>
            <w:r>
              <w:rPr>
                <w:lang w:val="de-DE"/>
              </w:rPr>
              <w:t xml:space="preserve"> </w:t>
            </w:r>
            <w:r>
              <w:t>вклучени</w:t>
            </w:r>
            <w:r>
              <w:rPr>
                <w:lang w:val="de-DE"/>
              </w:rPr>
              <w:t xml:space="preserve"> </w:t>
            </w:r>
            <w:r>
              <w:t>во</w:t>
            </w:r>
            <w:r>
              <w:rPr>
                <w:lang w:val="de-DE"/>
              </w:rPr>
              <w:t xml:space="preserve"> </w:t>
            </w:r>
            <w:r>
              <w:t>презентациите</w:t>
            </w:r>
            <w:r>
              <w:rPr>
                <w:lang w:val="de-DE"/>
              </w:rPr>
              <w:t xml:space="preserve"> </w:t>
            </w:r>
            <w:r>
              <w:t>во</w:t>
            </w:r>
            <w:r>
              <w:rPr>
                <w:lang w:val="de-DE"/>
              </w:rPr>
              <w:t xml:space="preserve"> PowerPoint </w:t>
            </w:r>
            <w:r>
              <w:t>насловени</w:t>
            </w:r>
            <w:r>
              <w:rPr>
                <w:lang w:val="de-DE"/>
              </w:rPr>
              <w:t xml:space="preserve"> „1.3.4 – </w:t>
            </w:r>
            <w:r>
              <w:t>Меѓународна</w:t>
            </w:r>
            <w:r>
              <w:rPr>
                <w:lang w:val="de-DE"/>
              </w:rPr>
              <w:t xml:space="preserve"> </w:t>
            </w:r>
            <w:r>
              <w:t>соработка</w:t>
            </w:r>
            <w:r>
              <w:rPr>
                <w:lang w:val="de-DE"/>
              </w:rPr>
              <w:t xml:space="preserve">” </w:t>
            </w:r>
            <w:r>
              <w:t>во</w:t>
            </w:r>
            <w:r>
              <w:rPr>
                <w:lang w:val="de-DE"/>
              </w:rPr>
              <w:t xml:space="preserve"> </w:t>
            </w:r>
            <w:r>
              <w:t>пакетот</w:t>
            </w:r>
            <w:r>
              <w:rPr>
                <w:lang w:val="de-DE"/>
              </w:rPr>
              <w:t xml:space="preserve"> </w:t>
            </w:r>
            <w:r>
              <w:t>со</w:t>
            </w:r>
            <w:r>
              <w:rPr>
                <w:lang w:val="de-DE"/>
              </w:rPr>
              <w:t xml:space="preserve"> </w:t>
            </w:r>
            <w:r>
              <w:t>ресурси</w:t>
            </w:r>
            <w:r>
              <w:rPr>
                <w:lang w:val="de-DE"/>
              </w:rPr>
              <w:t xml:space="preserve">. </w:t>
            </w:r>
            <w:r>
              <w:t>Инструкторот</w:t>
            </w:r>
            <w:r>
              <w:rPr>
                <w:lang w:val="de-DE"/>
              </w:rPr>
              <w:t xml:space="preserve"> </w:t>
            </w:r>
            <w:r>
              <w:t>има</w:t>
            </w:r>
            <w:r>
              <w:rPr>
                <w:lang w:val="de-DE"/>
              </w:rPr>
              <w:t xml:space="preserve"> </w:t>
            </w:r>
            <w:r>
              <w:t>обврска</w:t>
            </w:r>
            <w:r>
              <w:rPr>
                <w:lang w:val="de-DE"/>
              </w:rPr>
              <w:t xml:space="preserve"> </w:t>
            </w:r>
            <w:r>
              <w:t>да</w:t>
            </w:r>
            <w:r>
              <w:rPr>
                <w:lang w:val="de-DE"/>
              </w:rPr>
              <w:t xml:space="preserve"> </w:t>
            </w:r>
            <w:r>
              <w:t>обезбеди</w:t>
            </w:r>
            <w:r>
              <w:rPr>
                <w:lang w:val="de-DE"/>
              </w:rPr>
              <w:t xml:space="preserve"> </w:t>
            </w:r>
            <w:r>
              <w:t>материјалите</w:t>
            </w:r>
            <w:r>
              <w:rPr>
                <w:lang w:val="de-DE"/>
              </w:rPr>
              <w:t xml:space="preserve"> </w:t>
            </w:r>
            <w:r>
              <w:t>да</w:t>
            </w:r>
            <w:r>
              <w:rPr>
                <w:lang w:val="de-DE"/>
              </w:rPr>
              <w:t xml:space="preserve"> </w:t>
            </w:r>
            <w:r>
              <w:t>бидат</w:t>
            </w:r>
            <w:r>
              <w:rPr>
                <w:lang w:val="de-DE"/>
              </w:rPr>
              <w:t xml:space="preserve"> </w:t>
            </w:r>
            <w:r>
              <w:t>ажурирани</w:t>
            </w:r>
            <w:r>
              <w:rPr>
                <w:lang w:val="de-DE"/>
              </w:rPr>
              <w:t xml:space="preserve">. </w:t>
            </w:r>
            <w:r>
              <w:t>Може</w:t>
            </w:r>
            <w:r>
              <w:rPr>
                <w:lang w:val="de-DE"/>
              </w:rPr>
              <w:t xml:space="preserve"> </w:t>
            </w:r>
            <w:r>
              <w:t>да</w:t>
            </w:r>
            <w:r>
              <w:rPr>
                <w:lang w:val="de-DE"/>
              </w:rPr>
              <w:t xml:space="preserve"> </w:t>
            </w:r>
            <w:r>
              <w:t>се</w:t>
            </w:r>
            <w:r>
              <w:rPr>
                <w:lang w:val="de-DE"/>
              </w:rPr>
              <w:t xml:space="preserve"> </w:t>
            </w:r>
            <w:r>
              <w:t>прават</w:t>
            </w:r>
            <w:r>
              <w:rPr>
                <w:lang w:val="de-DE"/>
              </w:rPr>
              <w:t xml:space="preserve"> </w:t>
            </w:r>
            <w:r>
              <w:t>промени</w:t>
            </w:r>
            <w:r>
              <w:rPr>
                <w:lang w:val="de-DE"/>
              </w:rPr>
              <w:t xml:space="preserve">; </w:t>
            </w:r>
            <w:r>
              <w:t>меѓутоа</w:t>
            </w:r>
            <w:r>
              <w:rPr>
                <w:lang w:val="de-DE"/>
              </w:rPr>
              <w:t xml:space="preserve">, </w:t>
            </w:r>
            <w:r>
              <w:t>целите</w:t>
            </w:r>
            <w:r>
              <w:rPr>
                <w:lang w:val="de-DE"/>
              </w:rPr>
              <w:t xml:space="preserve"> </w:t>
            </w:r>
            <w:r>
              <w:t>треба</w:t>
            </w:r>
            <w:r>
              <w:rPr>
                <w:lang w:val="de-DE"/>
              </w:rPr>
              <w:t xml:space="preserve"> </w:t>
            </w:r>
            <w:r>
              <w:t>да</w:t>
            </w:r>
            <w:r>
              <w:rPr>
                <w:lang w:val="de-DE"/>
              </w:rPr>
              <w:t xml:space="preserve"> </w:t>
            </w:r>
            <w:r>
              <w:t>бидат</w:t>
            </w:r>
            <w:r>
              <w:rPr>
                <w:lang w:val="de-DE"/>
              </w:rPr>
              <w:t xml:space="preserve"> </w:t>
            </w:r>
            <w:r>
              <w:t>остварени</w:t>
            </w:r>
            <w:r>
              <w:rPr>
                <w:lang w:val="de-DE"/>
              </w:rPr>
              <w:t>.</w:t>
            </w:r>
          </w:p>
        </w:tc>
      </w:tr>
      <w:tr>
        <w:trPr>
          <w:trHeight w:val="701"/>
        </w:trPr>
        <w:tc>
          <w:tcPr>
            <w:tcW w:w="9010" w:type="dxa"/>
            <w:gridSpan w:val="3"/>
            <w:tcBorders>
              <w:bottom w:val="single" w:sz="4" w:space="0" w:color="auto"/>
            </w:tcBorders>
            <w:shd w:val="clear" w:color="auto" w:fill="D9E2F3" w:themeFill="accent1" w:themeFillTint="33"/>
            <w:vAlign w:val="center"/>
          </w:tcPr>
          <w:p>
            <w:pPr>
              <w:spacing w:before="0" w:after="0" w:line="240" w:lineRule="auto"/>
              <w:jc w:val="left"/>
            </w:pPr>
            <w:r>
              <w:rPr>
                <w:b/>
                <w:bCs/>
                <w:sz w:val="28"/>
                <w:szCs w:val="28"/>
              </w:rPr>
              <w:t>Содржина на часот</w:t>
            </w:r>
          </w:p>
        </w:tc>
      </w:tr>
      <w:tr>
        <w:trPr>
          <w:trHeight w:val="629"/>
        </w:trPr>
        <w:tc>
          <w:tcPr>
            <w:tcW w:w="1615" w:type="dxa"/>
            <w:shd w:val="clear" w:color="auto" w:fill="D9E2F3" w:themeFill="accent1" w:themeFillTint="33"/>
            <w:vAlign w:val="center"/>
          </w:tcPr>
          <w:p>
            <w:pPr>
              <w:spacing w:before="0" w:after="0" w:line="240" w:lineRule="auto"/>
              <w:jc w:val="center"/>
              <w:rPr>
                <w:b/>
                <w:sz w:val="22"/>
                <w:szCs w:val="22"/>
              </w:rPr>
            </w:pPr>
            <w:r>
              <w:rPr>
                <w:b/>
                <w:bCs/>
                <w:sz w:val="22"/>
                <w:szCs w:val="22"/>
              </w:rPr>
              <w:t>Број на слајдот</w:t>
            </w:r>
          </w:p>
        </w:tc>
        <w:tc>
          <w:tcPr>
            <w:tcW w:w="7395" w:type="dxa"/>
            <w:gridSpan w:val="2"/>
            <w:shd w:val="clear" w:color="auto" w:fill="D9E2F3" w:themeFill="accent1" w:themeFillTint="33"/>
            <w:vAlign w:val="center"/>
          </w:tcPr>
          <w:p>
            <w:pPr>
              <w:spacing w:before="0" w:after="0" w:line="240" w:lineRule="auto"/>
              <w:rPr>
                <w:b/>
                <w:sz w:val="22"/>
                <w:szCs w:val="22"/>
              </w:rPr>
            </w:pPr>
            <w:r>
              <w:rPr>
                <w:b/>
                <w:bCs/>
                <w:sz w:val="22"/>
                <w:szCs w:val="22"/>
              </w:rPr>
              <w:t>Содржина</w:t>
            </w:r>
          </w:p>
        </w:tc>
      </w:tr>
      <w:tr>
        <w:trPr>
          <w:trHeight w:val="1187"/>
        </w:trPr>
        <w:tc>
          <w:tcPr>
            <w:tcW w:w="1615" w:type="dxa"/>
          </w:tcPr>
          <w:p>
            <w:r>
              <w:t>Слајд 3</w:t>
            </w:r>
          </w:p>
        </w:tc>
        <w:tc>
          <w:tcPr>
            <w:tcW w:w="7395" w:type="dxa"/>
            <w:gridSpan w:val="2"/>
          </w:tcPr>
          <w:p>
            <w:r>
              <w:t xml:space="preserve">Компјутерскиот </w:t>
            </w:r>
            <w:r>
              <w:rPr>
                <w:lang w:val="mk-MK"/>
              </w:rPr>
              <w:t>и онлајн-</w:t>
            </w:r>
            <w:r>
              <w:t>криминал</w:t>
            </w:r>
            <w:r>
              <w:rPr>
                <w:lang w:val="mk-MK"/>
              </w:rPr>
              <w:t>от</w:t>
            </w:r>
            <w:r>
              <w:t xml:space="preserve"> по својата природа често е прекугранич</w:t>
            </w:r>
            <w:r>
              <w:rPr>
                <w:lang w:val="mk-MK"/>
              </w:rPr>
              <w:t>е</w:t>
            </w:r>
            <w:r>
              <w:t xml:space="preserve">н и затоа меѓународната соработка е од клучно значење. Во областа на компјутерскиот криминал постојат мрежи и организации за поттикнување на размената на информации (како што се мрежата 24/7 од Конвенцијата од Будимпешта и </w:t>
            </w:r>
            <w:r>
              <w:rPr>
                <w:lang w:val="mk-MK"/>
              </w:rPr>
              <w:t xml:space="preserve">Европскиот центар за компјутерски криминал (ЕЦ3) на </w:t>
            </w:r>
            <w:r>
              <w:t>Европол), финансиските истраги (CARIN) и спречувањето и истрагите на перење пари (</w:t>
            </w:r>
            <w:r>
              <w:rPr>
                <w:lang w:val="mk-MK"/>
              </w:rPr>
              <w:t>Група ЕГМОНТ</w:t>
            </w:r>
            <w:r>
              <w:t xml:space="preserve">). Треба да се спомне и ИНТЕРПОЛ. </w:t>
            </w:r>
          </w:p>
          <w:p>
            <w:r>
              <w:t>Традиционалната меѓусебна правна помош е неопходна за извршување на судски налози за собирање докази и за замрзнување и конфискација на имот во странство, дури иако за тоа може да биде потребно многу време. Би можеле да бидат корисни алтернативни пристапи, како што се заеднички истражни тимови (Joint Investigation Team / JIT) или спроведување паралелни истраги.</w:t>
            </w:r>
          </w:p>
          <w:p>
            <w:r>
              <w:t xml:space="preserve">Специфики на </w:t>
            </w:r>
            <w:r>
              <w:rPr>
                <w:lang w:val="mk-MK"/>
              </w:rPr>
              <w:t>онлајн-криминалот</w:t>
            </w:r>
          </w:p>
          <w:p>
            <w:r>
              <w:t>Интернетот, без оглед на неговите многубројни позитивни аспекти, дава можности за злоупотреба од сторители што може да дејствуваат речиси невидливо, брзо и анонимно, за да ги скријат својот идентитет (на пример, со користење на услугите Darknet), доказите и трагите на профитот од криминал. Оваа карактеристика на интернет претставува предизвик за агенциите за спроведување на законот.</w:t>
            </w:r>
          </w:p>
          <w:p>
            <w:r>
              <w:t>Во случаи што се поврзани со компјутери, или со интернет, кои се користат како алат или предмент на кривично дело, сторителот нема потреба да се наоѓа физички на територијата на некоја јуридсикција. Исто така, ни доказите не мора задолжително да бидат во рамките на територијата на некоја јурисдикција. Со користење на интернет, сторителот може да работи во една земја, користејќи сервери лоцирани во друга земја, жртвата да му биде во трета земја, а имотната корист стекната со кривичното дело да заврши во четврта земја. Интернетот не познава граници, но граници се уште постојат за полицијата и за сторителите. Според тоа, меѓународната соработка за цел на истрага и на собирање докази е од суштинско значење.</w:t>
            </w:r>
          </w:p>
        </w:tc>
      </w:tr>
      <w:tr>
        <w:trPr>
          <w:trHeight w:val="2402"/>
        </w:trPr>
        <w:tc>
          <w:tcPr>
            <w:tcW w:w="1615" w:type="dxa"/>
          </w:tcPr>
          <w:p>
            <w:r>
              <w:lastRenderedPageBreak/>
              <w:t>Слајд 4</w:t>
            </w:r>
          </w:p>
        </w:tc>
        <w:tc>
          <w:tcPr>
            <w:tcW w:w="7395" w:type="dxa"/>
            <w:gridSpan w:val="2"/>
          </w:tcPr>
          <w:p>
            <w:r>
              <w:t>Кривичните истраги треба да одговорат на прашања, како што се: кој стои зад определена IP-адреса (адреса на интернет-протокол / Internet Protocol address) додека таа IP-адреса се користи за комуникација со жртвата или со друг криминалец? За да се утврдат страните во една криминална активност, можеби е важно да се анализира сообраќајот или дури и содржината на комуникацијата што компанијата ги чува во седиштето во странство. Исто така, при спроведување финансиски истраги и анализа на паричните текови важно е да се има пристап до податоците од банкараките сметки и трансакциите во странство, како и можност да се одложи трансакција (УФР) или да се замрзне трансакција (судски налог), или имот, на пример во биткоин паричникот.</w:t>
            </w:r>
          </w:p>
          <w:p>
            <w:r>
              <w:t>Соочувајќи се со такви практични предизвици, важно е да се разбере кои се законските и практичните можности за да се побара и да се добие помош во форма на информации или на докази од определена земја. Успехот во конкретни случаи често зависи од воспоставените контакти, меѓусебниот интерес и од довербата.</w:t>
            </w:r>
          </w:p>
          <w:p>
            <w:r>
              <w:t>Комбинирање на три аспекти</w:t>
            </w:r>
          </w:p>
          <w:p>
            <w:r>
              <w:t>Концептот на таргетирање на имотна корист стекната со кривично дело извршено преку интернет ги обединува пристапите на истрагата на компјутерски криминал, финансиската истрага и истрагата на перење пари, со цел зголемена ефикасност и успех на кривичните истраги и кривичните постапки ид перспектива на гонење на криминалец и таргетирање и конфискување на имотната корист стекната со кривично дело.</w:t>
            </w:r>
          </w:p>
          <w:p>
            <w:r>
              <w:t>Важно е да се потврдат предностите од комбинирање различни можности за меѓународна соработка, со комбинирање на трите аспекти. Меѓутоа, треба да се забележи дека наспроти можните ефикасни алати за спречување и за борба против перење пари, во неколку држави прогонувањето на перењето пари се уште претставува предизвик.</w:t>
            </w:r>
          </w:p>
          <w:p>
            <w:r>
              <w:t xml:space="preserve">Во случаи на истрага за </w:t>
            </w:r>
            <w:r>
              <w:rPr>
                <w:lang w:val="mk-MK"/>
              </w:rPr>
              <w:t>онлајн-криминал</w:t>
            </w:r>
            <w:r>
              <w:t xml:space="preserve"> брзината е од суштинско значење. Кога постојат елементи на кривично дело перење пари (имотната корист стекната со кривично дело се маскира или се крие), УФР може да ги употреби своите овластувања за да пристапи кон банкарски податоци и да одложи сомнителна банкарска трансакција, како и да ја побара оваа мерка од УФР во странство. Ќе бидат потребни последователен судски налог за пристап до банкарските податоци и/или замрзнување на трансакцијата во странство и меѓународна правна помош.</w:t>
            </w:r>
          </w:p>
        </w:tc>
      </w:tr>
      <w:tr>
        <w:trPr>
          <w:trHeight w:val="854"/>
        </w:trPr>
        <w:tc>
          <w:tcPr>
            <w:tcW w:w="1615" w:type="dxa"/>
          </w:tcPr>
          <w:p>
            <w:r>
              <w:t>Слајд 5</w:t>
            </w:r>
          </w:p>
        </w:tc>
        <w:tc>
          <w:tcPr>
            <w:tcW w:w="7395" w:type="dxa"/>
            <w:gridSpan w:val="2"/>
          </w:tcPr>
          <w:p>
            <w:r>
              <w:t xml:space="preserve">Соработката на службите за спроведување на законот (полицијата и обвинителствата) и размената на информации се непроценливи во прекуграничните истраги. Релевантните мрежи играат важна улога во тој однос. </w:t>
            </w:r>
          </w:p>
          <w:p>
            <w:r>
              <w:t>Меѓусебната правна помош се уште се смета за главно средство за спроведување судски налози и за собирање докази во странство. Должината на оваа формална постапка често претставува значајна пречка. Со користење на заеднички истраги и на JIT би можеле да се решат некои предизвици на ефикасноста.</w:t>
            </w:r>
          </w:p>
          <w:p>
            <w:r>
              <w:t xml:space="preserve">Меѓународните правни инструменти, како што се конвенциите од Будимпешта и од Варшава, предвидуваат законски обврски за помош на </w:t>
            </w:r>
            <w:r>
              <w:lastRenderedPageBreak/>
              <w:t xml:space="preserve">друга </w:t>
            </w:r>
            <w:r>
              <w:rPr>
                <w:lang w:val="mk-MK"/>
              </w:rPr>
              <w:t>Страна</w:t>
            </w:r>
            <w:r>
              <w:t xml:space="preserve"> на Конвенцијата. Меѓународната соработка во конкретни случаи е поефикасна кога постои заемен интерес. Според тоа, важно е да се изградат професионални односи со другите страни во странство. Меѓународните мрежи на експерти нудат можности за размена на најдобрите практики и за изградба на довербата. Исто така, некои меѓународни мрежи се креираат со цел размена на оперативни информации. Во таквите случаи се применуваат правилата за заштита на личните податоци. Со оглед дека финансиската истрага треба да се спроведува паралелно со истрагата на компјутерски криминал (и </w:t>
            </w:r>
            <w:r>
              <w:rPr>
                <w:lang w:val="mk-MK"/>
              </w:rPr>
              <w:t>онлајн-</w:t>
            </w:r>
            <w:r>
              <w:t>криминал), корисно е да се идентификуваат релевантните мрежи во областите на компјутерскиот криминал и на е-доказите, како и во областите на таргетирање на имотната корист стекната со кривично дело (финансиска истрага) и превенција/истрага на перење пари.</w:t>
            </w:r>
          </w:p>
          <w:p>
            <w:r>
              <w:t>Во истрагата на кривични дела извршени од меѓународни криминални групи неопходно е да се провери дали сторителите имаат имот во странство. Во такви случаи многу е важна меѓународната соработка на полицијата или со обвинителите. Лицето за контакт во полицијата во странство може да даде совети во однос на тоа какви податоци за имот може да се добијат од јавни извори, преку соработка со полицијата или со замолница. Таквите информации може значително да ја олеснат или забрзаат аквизицијата на податоци.</w:t>
            </w:r>
          </w:p>
          <w:p>
            <w:r>
              <w:t>Имајте предвид дека таквата соработка е оперативна и дека се исклучува извршување судски налози. Воспоставени се мрежи за олеснување на соработката. Дури иако овие канали не може да се користат за формална меѓусебна правна помош, условите за меѓусебна правна помош и други практични совети може да се споделуваат преку овие канали. Таквата соработка, исто така, може да доведе до воспоставување заеднички истражни тимови, што во принцип, исто така, може да поттикне ефективни пристапи кон меѓусебна правна помош. Исто така, тоа може да доведе до договори за паралелни истраги во прекугранични случаи со повеќе сторители и жртви.</w:t>
            </w:r>
          </w:p>
        </w:tc>
      </w:tr>
      <w:tr>
        <w:trPr>
          <w:trHeight w:val="1169"/>
        </w:trPr>
        <w:tc>
          <w:tcPr>
            <w:tcW w:w="1615" w:type="dxa"/>
          </w:tcPr>
          <w:p>
            <w:pPr>
              <w:rPr>
                <w:color w:val="000000" w:themeColor="text1"/>
              </w:rPr>
            </w:pPr>
            <w:r>
              <w:lastRenderedPageBreak/>
              <w:t xml:space="preserve">Слајд 6 </w:t>
            </w:r>
          </w:p>
        </w:tc>
        <w:tc>
          <w:tcPr>
            <w:tcW w:w="7395" w:type="dxa"/>
            <w:gridSpan w:val="2"/>
          </w:tcPr>
          <w:p>
            <w:r>
              <w:t>Кој може да помогне?</w:t>
            </w:r>
          </w:p>
          <w:p>
            <w:r>
              <w:t>Camden Asset Recovery Interagency Network (CARIN) (Меѓуагенцисја мрежа за обновување на имот од Камден)</w:t>
            </w:r>
          </w:p>
          <w:p>
            <w:pPr>
              <w:rPr>
                <w:bCs/>
              </w:rPr>
            </w:pPr>
            <w:hyperlink r:id="rId8" w:history="1">
              <w:r>
                <w:rPr>
                  <w:rStyle w:val="Hyperlink"/>
                </w:rPr>
                <w:t>http://carin-network.org/</w:t>
              </w:r>
            </w:hyperlink>
          </w:p>
          <w:p>
            <w:r>
              <w:t>CARIN е неформална мрежа експерти/практичари во областа на влегувањето во трага на средства и нивно замрзнување и конфискација. Европол е постојан секретаријат на CARIN. Размена на најдобрите практики и информации за правните можности во областа на таргетирање на имотна корист стекната со кривично дело. Оперативните информации меѓу две точки за контакт може да се разменуваат билатерално.</w:t>
            </w:r>
          </w:p>
          <w:p>
            <w:r>
              <w:t>Група Егмонт</w:t>
            </w:r>
          </w:p>
          <w:p>
            <w:pPr>
              <w:rPr>
                <w:bCs/>
              </w:rPr>
            </w:pPr>
            <w:hyperlink r:id="rId9" w:history="1">
              <w:r>
                <w:rPr>
                  <w:rStyle w:val="Hyperlink"/>
                </w:rPr>
                <w:t>https://egmontgroup.org/en</w:t>
              </w:r>
            </w:hyperlink>
          </w:p>
          <w:p>
            <w:r>
              <w:t xml:space="preserve">Групата Егмонт е тело од 152 управи за финансиско разузнавање (УФР). Групата Егмонт е платформа за безбедна размена на експертиза и финансиско разузнавање со цел борба против перење пари и финансирање тероризам. Таа се користи за размена на оперативни информации во специфични случаи меѓу УФР. Мрежата на УФР се користи </w:t>
            </w:r>
            <w:r>
              <w:lastRenderedPageBreak/>
              <w:t>за размена на информации за STR , банкарски податоци и за привремено одложување на финансиски трансакции врз основа на барање од УФР (видете Конвенција од Варшава, Поглавје V, членови 46 и 47).</w:t>
            </w:r>
          </w:p>
          <w:p>
            <w:r>
              <w:t>Мрежата 24/7 од Конвенцијата од Будимпешта за размена на информации и за помош за цели на истраги или на постапки што се однесуваат на кривично дело поврзано со компјутерски системи и податоци или за собирање докази во електронска форма за кривичното дело (видете Конвенција од Будимпешта, член 35).</w:t>
            </w:r>
          </w:p>
          <w:p>
            <w:r>
              <w:t>ИНТЕРПОЛ, Европол (ЕЦ3 за компјутерски криминал) or Европравда се канали за полицијата и за обвинителите.</w:t>
            </w:r>
          </w:p>
          <w:p>
            <w:r>
              <w:t xml:space="preserve">За земјите од Југоисточна Европа: </w:t>
            </w:r>
          </w:p>
          <w:p>
            <w:r>
              <w:t>Исто така, од големо значење се и други регионални и билатерални контакти на полицијата и обвинителите, како што се Центарот на агенциите за спроведување на законот на Југоисточна Европа (Southeast European Law Enforcement Centre / SELEC) или Конвенцијата за соработна на полицијата за Југоисточна Европа (Police Cooperation Convention for Southeast Europe / PCCSEE)</w:t>
            </w:r>
          </w:p>
          <w:p>
            <w:r>
              <w:t>Центар на агенциите за спроведување на законот на Југоисточна Европа (SELEC)</w:t>
            </w:r>
          </w:p>
          <w:p>
            <w:pPr>
              <w:rPr>
                <w:bCs/>
              </w:rPr>
            </w:pPr>
            <w:hyperlink r:id="rId10" w:history="1">
              <w:r>
                <w:rPr>
                  <w:rStyle w:val="Hyperlink"/>
                </w:rPr>
                <w:t>http://www.selec.org/</w:t>
              </w:r>
            </w:hyperlink>
          </w:p>
          <w:p>
            <w:r>
              <w:t>Цел на SELEC, во рамките на соработката меѓу надлежните органи, е да обезбеди поддршка за земјите-членки и да ја поттикне соработката во спречување и во борба против криминал, вклучително и сериозен и организиран криминал, при што таквиот криминал вклучува или изгледа дека вклучува елемент на прекугранична активност.</w:t>
            </w:r>
          </w:p>
          <w:p>
            <w:r>
              <w:t>Конвенцијата за соработна на полицијата за Југоисточна Европа (PCCSEE) ја предвидува правната рамка за полицијата: соработка и размена на информации.</w:t>
            </w:r>
          </w:p>
          <w:p>
            <w:pPr>
              <w:rPr>
                <w:bCs/>
              </w:rPr>
            </w:pPr>
            <w:hyperlink r:id="rId11" w:history="1">
              <w:r>
                <w:rPr>
                  <w:rStyle w:val="Hyperlink"/>
                </w:rPr>
                <w:t>http://www.pccseesecretariat.si/</w:t>
              </w:r>
            </w:hyperlink>
          </w:p>
          <w:p>
            <w:r>
              <w:t xml:space="preserve">Комитетот на експерти на Советот на Европа – </w:t>
            </w:r>
            <w:r>
              <w:rPr>
                <w:rFonts w:cs="Tahoma"/>
              </w:rPr>
              <w:t>MONEYVAL</w:t>
            </w:r>
            <w:r>
              <w:t xml:space="preserve"> и Конференцијата на </w:t>
            </w:r>
            <w:r>
              <w:rPr>
                <w:lang w:val="mk-MK"/>
              </w:rPr>
              <w:t>С</w:t>
            </w:r>
            <w:r>
              <w:t>траните на CETS 198 во областа на перење пари и финансирање тероризам, компјутерски криминал (T-CY) или соработка во кривичната материја (PC-OC), покрај нивните соодветни задачи, исто така, предвидуваат можности за експертите да воспостават работни контакти.</w:t>
            </w:r>
          </w:p>
          <w:p>
            <w:r>
              <w:t>Инструкторот треба да објасни дека, иако не се утврдени како канали за меѓународна соработка, следниве релевантни тела извршуваат важна работа во оваа област и би можело да биде корисно да се следат нивните извештаи/пленарни состаноци:</w:t>
            </w:r>
          </w:p>
          <w:p>
            <w:r>
              <w:rPr>
                <w:rFonts w:cs="Tahoma"/>
              </w:rPr>
              <w:t xml:space="preserve">Комитет на експерти за евалуација на мерки во борбата против перење пари и финансирање тероризам (MONEYVAL) (Committee of experts on the evaluation of anti-money laundering measures and the financing of terrorism), </w:t>
            </w:r>
            <w:hyperlink r:id="rId12" w:history="1">
              <w:r>
                <w:rPr>
                  <w:rStyle w:val="Hyperlink"/>
                  <w:rFonts w:cs="Tahoma"/>
                </w:rPr>
                <w:t>http://www.coe.int/t/dghl/monitoring/moneyval/</w:t>
              </w:r>
            </w:hyperlink>
          </w:p>
          <w:p>
            <w:pPr>
              <w:rPr>
                <w:shd w:val="clear" w:color="auto" w:fill="FFFFFF"/>
              </w:rPr>
            </w:pPr>
          </w:p>
          <w:p>
            <w:pPr>
              <w:rPr>
                <w:shd w:val="clear" w:color="auto" w:fill="FFFFFF"/>
              </w:rPr>
            </w:pPr>
            <w:r>
              <w:rPr>
                <w:shd w:val="clear" w:color="auto" w:fill="FFFFFF"/>
              </w:rPr>
              <w:t xml:space="preserve">Конференција на </w:t>
            </w:r>
            <w:r>
              <w:rPr>
                <w:shd w:val="clear" w:color="auto" w:fill="FFFFFF"/>
                <w:lang w:val="mk-MK"/>
              </w:rPr>
              <w:t>С</w:t>
            </w:r>
            <w:r>
              <w:rPr>
                <w:shd w:val="clear" w:color="auto" w:fill="FFFFFF"/>
              </w:rPr>
              <w:t>траните на CETS 198 (механизам за следење заснован на Конвенцијата од Варшава),</w:t>
            </w:r>
          </w:p>
          <w:p>
            <w:pPr>
              <w:rPr>
                <w:rFonts w:cs="Tahoma"/>
                <w:color w:val="0563C1" w:themeColor="hyperlink"/>
                <w:u w:val="single"/>
                <w:shd w:val="clear" w:color="auto" w:fill="FFFFFF"/>
              </w:rPr>
            </w:pPr>
            <w:hyperlink r:id="rId13" w:history="1">
              <w:r>
                <w:rPr>
                  <w:rStyle w:val="Hyperlink"/>
                  <w:rFonts w:cs="Tahoma"/>
                  <w:shd w:val="clear" w:color="auto" w:fill="FFFFFF"/>
                </w:rPr>
                <w:t>http://www.coe.int/t/dghl/monitoring/cop198/about/about_en.asp</w:t>
              </w:r>
            </w:hyperlink>
          </w:p>
          <w:p>
            <w:pPr>
              <w:rPr>
                <w:rStyle w:val="Hyperlink"/>
                <w:rFonts w:cs="Tahoma"/>
                <w:bCs/>
              </w:rPr>
            </w:pPr>
            <w:r>
              <w:rPr>
                <w:rFonts w:cs="Tahoma"/>
              </w:rPr>
              <w:lastRenderedPageBreak/>
              <w:t xml:space="preserve">Комитет на </w:t>
            </w:r>
            <w:r>
              <w:rPr>
                <w:rFonts w:cs="Tahoma"/>
                <w:lang w:val="mk-MK"/>
              </w:rPr>
              <w:t>С</w:t>
            </w:r>
            <w:r>
              <w:rPr>
                <w:rFonts w:cs="Tahoma"/>
              </w:rPr>
              <w:t xml:space="preserve">траните на Конвенцијата за компјутерски криминал (T-CY), </w:t>
            </w:r>
            <w:hyperlink r:id="rId14" w:history="1">
              <w:r>
                <w:rPr>
                  <w:rStyle w:val="Hyperlink"/>
                  <w:rFonts w:cs="Tahoma"/>
                </w:rPr>
                <w:t>http://www.coe.int/en/web/cybercrime/tcy</w:t>
              </w:r>
            </w:hyperlink>
          </w:p>
          <w:p>
            <w:pPr>
              <w:pStyle w:val="ListParagraph"/>
            </w:pPr>
          </w:p>
          <w:p>
            <w:pPr>
              <w:rPr>
                <w:rStyle w:val="Hyperlink"/>
                <w:rFonts w:cs="Tahoma"/>
                <w:bCs/>
              </w:rPr>
            </w:pPr>
            <w:r>
              <w:rPr>
                <w:rFonts w:cs="Tahoma"/>
              </w:rPr>
              <w:t xml:space="preserve">Комитетот на стручњаци за работа на европската Конвенција за соработка во кривичната материја на Советот на Европа (PC-OC), </w:t>
            </w:r>
            <w:hyperlink r:id="rId15" w:history="1">
              <w:r>
                <w:rPr>
                  <w:rStyle w:val="Hyperlink"/>
                  <w:rFonts w:cs="Tahoma"/>
                </w:rPr>
                <w:t>http://www.coe.int/t/DGHL/STANDARDSETTING/PC-OC/</w:t>
              </w:r>
            </w:hyperlink>
          </w:p>
          <w:p>
            <w:pPr>
              <w:pStyle w:val="ListParagraph"/>
            </w:pPr>
          </w:p>
          <w:p>
            <w:r>
              <w:t xml:space="preserve">Оперативна група за определување на дејствa за спречување на перење пари и финансирање на тероризам (ФАТФ) (Financial Action Task Force / FATF), </w:t>
            </w:r>
            <w:hyperlink r:id="rId16" w:history="1">
              <w:r>
                <w:rPr>
                  <w:rStyle w:val="Hyperlink"/>
                </w:rPr>
                <w:t>http://www.fatf-gafi.org/</w:t>
              </w:r>
            </w:hyperlink>
          </w:p>
          <w:p>
            <w:r>
              <w:t>ФАТФ е меѓувладино тело. Цели на ФАТФ се утврдување стандарди и унапредување на примената на правните, регулаторните и на оперативните мерки за борба против перење пари, финансирање тероризам и против други поврзани закани за интегритетот на меѓународниот финансиски систем.</w:t>
            </w:r>
          </w:p>
          <w:p/>
          <w:p>
            <w:r>
              <w:t>Меѓусебната правна помош е формална соработка и резултатот на барање може да се користи како доказ на суд. Вообичаените канали на комуникации се преку именувани централни власти, што често се министерствата за правда. Можните канали, исто така, може да бидат Министерството за надворешни работи или во итни случаи Интерпол.</w:t>
            </w:r>
          </w:p>
          <w:p>
            <w:r>
              <w:t>Имајте предвид дека меѓусебната правна помош во ЕУ се остварува директно меѓу одговорните органи (обвинител/суд). Конвенцијата од Варшава (член 34) и Конвенцијата од Будимпешта (член 27/29), исто така, предвидуваат таков пристап во итни случаи, при што формалните барања, исто така, се пренесуваат низ централните надлежни органи.</w:t>
            </w:r>
          </w:p>
          <w:p>
            <w:r>
              <w:t>Државата примател е обврзана да го потврди или да го изврши барањето за соработка или судскиот налог.</w:t>
            </w:r>
          </w:p>
          <w:p>
            <w:pPr>
              <w:rPr>
                <w:i/>
              </w:rPr>
            </w:pPr>
            <w:r>
              <w:t xml:space="preserve">Националното право ги регулира сите форми на меѓународна соработка, вклучително и меѓусебната правна помош, при што таа се заснова на релевантни меѓународни правни инструменти. Во областа на таргетирањето на имотна корист стекната со криминал извршен преку интернет, клучни се Конвенцијата на Советот на Европа за перење пари, откривање, запленување и одземање на имотна корист стекната со кривично дело и финансирање тероризам (Конвенција од Варшава) и Конвенцијата за компјутерски криминал од Будимпешта. </w:t>
            </w:r>
          </w:p>
          <w:p/>
          <w:p>
            <w:r>
              <w:t>Обично содржината на барањето (законски услови и оправданост), јазикот и каналот на комуникација се дефинирани со закон. Ако не постои меѓународен договор со некоја трета земја, соработката би била можна врз основа на принципот на реципроцитет.</w:t>
            </w:r>
          </w:p>
          <w:p>
            <w:r>
              <w:t>Идентификувајте го релевантното национално законодавство што ги дефинира условите за меѓународна соработка (закони за полицијата и за обвинителството) и меѓусебната правна помош (закони за кривична постапка/меѓународна соработка).</w:t>
            </w:r>
          </w:p>
        </w:tc>
      </w:tr>
      <w:tr>
        <w:trPr>
          <w:trHeight w:val="440"/>
        </w:trPr>
        <w:tc>
          <w:tcPr>
            <w:tcW w:w="1615" w:type="dxa"/>
          </w:tcPr>
          <w:p>
            <w:pPr>
              <w:rPr>
                <w:color w:val="000000" w:themeColor="text1"/>
              </w:rPr>
            </w:pPr>
            <w:r>
              <w:lastRenderedPageBreak/>
              <w:t>Слајд 7</w:t>
            </w:r>
          </w:p>
        </w:tc>
        <w:tc>
          <w:tcPr>
            <w:tcW w:w="7395" w:type="dxa"/>
            <w:gridSpan w:val="2"/>
          </w:tcPr>
          <w:p>
            <w:r>
              <w:t xml:space="preserve">Меѓународната соработка може да се опише од процедурална и од </w:t>
            </w:r>
            <w:r>
              <w:lastRenderedPageBreak/>
              <w:t xml:space="preserve">институционална гледна точка (кој прави што). Исто така, се додаваат релевантните меѓународни мрежи за да се илустрираат различните патишта за соработка. </w:t>
            </w:r>
          </w:p>
          <w:p>
            <w:r>
              <w:t xml:space="preserve">Во случаи на </w:t>
            </w:r>
            <w:r>
              <w:rPr>
                <w:lang w:val="mk-MK"/>
              </w:rPr>
              <w:t xml:space="preserve">истрафи на </w:t>
            </w:r>
            <w:r>
              <w:t xml:space="preserve">компјутерски </w:t>
            </w:r>
            <w:r>
              <w:rPr>
                <w:lang w:val="mk-MK"/>
              </w:rPr>
              <w:t>и на онлајн-криминал</w:t>
            </w:r>
            <w:r>
              <w:t>, прекуграничната соработка се раководи од потребите на домашната истрага и од достапната временска рамка. На пример, во случај на измама на CEO како што е објаснето во делот за компјутерскиот криминал, полицијата или лицето за контакт од обвинителството во странство би можеле да дадат совети за законските услови во третата земја и за најефикасниот пристап кон меѓусебната правна соработка. Во зависност од условите предвидени во националното право, полицијата може да му предложи на обвинителството да побара судскиот налог да биде извршен во странство во врска со барање за претрес на дом, испрашување и пристап до банкарски податоци, налог за замрзнување, заплена на електронски докази вклучително и обелоденување податоци за сообраќајот или за содржината поврзани со електронската комуникација.</w:t>
            </w:r>
          </w:p>
          <w:p>
            <w:r>
              <w:t xml:space="preserve">Меѓусебната правна помош е потребна и за извршување на налозите за замрзнување или за конфискација, ако имотот е во странство. Меѓутоа, за управувањето со замрзнат имот, трошоците на управувањето, располагањето и за споделувањето на конфискуваниот имот обично се потребни практични договарања и спогодба меѓу двете страни. </w:t>
            </w:r>
          </w:p>
          <w:p>
            <w:r>
              <w:t>Одредбите за пренос на постапките во кривичната материја, екстрадиција или пренос на осудени лица, исто така, се дефинирани со националните и со меѓународните правни инструменти.</w:t>
            </w:r>
          </w:p>
          <w:p>
            <w:pPr>
              <w:rPr>
                <w:i/>
              </w:rPr>
            </w:pPr>
            <w:r>
              <w:t>Судијата што го издава судскиот налог, според националното право, треба да ги земе предвид и условите поврзани со барањата за меѓусебна правна помош, врз основа на специфична конвенција или практика во соработка со трета земја. Централниот орган за меѓународна соработка, што обично е Министерството за правда, би можел да биде во можност да ги обезбеди потребните препораки.</w:t>
            </w:r>
          </w:p>
          <w:p>
            <w:pPr>
              <w:rPr>
                <w:i/>
              </w:rPr>
            </w:pPr>
            <w:r>
              <w:t>Постои обврска за извршување на барања што ги задволуваат условите, но ефикасноста и брзината зависат и од директниот билатерален контакт и доверба. Во областа на е-доказите, многу е важна добоволна и директна соработка со провајдерите на интернет услуги (internet service providers / ISP), кога тоа го дозволува националното право. Ова особено е случај за мултинационалните провајдери на услуги (Facebook, Google, Microsoft итн.) со седиште во САД, кои овозможуваат навремено зачувување на податоците додека не биде пренесено барањето за меѓусебна правна помош и до споделувањето информации за претплатниците, имајќи го предвид домашното право на државата-барател.</w:t>
            </w:r>
          </w:p>
          <w:p>
            <w:pPr>
              <w:rPr>
                <w:i/>
              </w:rPr>
            </w:pPr>
            <w:r>
              <w:t>Со оглед дека постапката за меѓусебна правна помош за собирање докази или за извршување судски барања, во практика, би можела да потрае подолго време, кое истражителите во реалност не го имаат, се промовираат алтернативни форми на соработка, како што се заеднички тимови за истрага или паралелни истраги. Во случај на меѓусебен интерес и интензивна вклученост, надлежните органи од двете држави обично дејствуваат и реагираат навремено.</w:t>
            </w:r>
          </w:p>
        </w:tc>
      </w:tr>
      <w:tr>
        <w:trPr>
          <w:trHeight w:val="800"/>
        </w:trPr>
        <w:tc>
          <w:tcPr>
            <w:tcW w:w="1615" w:type="dxa"/>
          </w:tcPr>
          <w:p>
            <w:pPr>
              <w:rPr>
                <w:color w:val="000000" w:themeColor="text1"/>
              </w:rPr>
            </w:pPr>
            <w:r>
              <w:lastRenderedPageBreak/>
              <w:t>Слајд 8</w:t>
            </w:r>
          </w:p>
        </w:tc>
        <w:tc>
          <w:tcPr>
            <w:tcW w:w="7395" w:type="dxa"/>
            <w:gridSpan w:val="2"/>
          </w:tcPr>
          <w:p>
            <w:r>
              <w:t xml:space="preserve">Релевантните конвенции, како што се конвенциите на Советот на Европа од Варшава и од Будимпешта, како и Европската конвенција за меѓусебна </w:t>
            </w:r>
            <w:r>
              <w:lastRenderedPageBreak/>
              <w:t>помош во кривичната материја и дополнителните протоколи даваат законска обврска и патишта и опции за размена на информации и за извршување судски налози во прекугранични случаи.</w:t>
            </w:r>
          </w:p>
          <w:p>
            <w:r>
              <w:t>Инструкторот треба да потсети дека соработката со страните во Стразбуршката конвенција за перење, барање, запленување и одземање на имотна корист стекната со кривично дело од 1990 година е регулирана во член 49, став 6 од Конвенцијата од Варшава.</w:t>
            </w:r>
          </w:p>
          <w:p>
            <w:r>
              <w:t>Во оваа област се релевантни и Конвенцијата на Обединетите нации против нелегална трговија со опојни дроги и психотропски супстанции (Виенска конвенција) од 1988 година и Конвенцијата на ОН против транснационален организиран криминал (Конвенција од Палермо) од 2001 година.</w:t>
            </w:r>
          </w:p>
          <w:p>
            <w:r>
              <w:t>Исто така, во однос на ова, мора да бидат релевантни билатералните договори за меѓусебна правна помош во кривичната материја и договорите за соработка меѓу полицијата.</w:t>
            </w:r>
          </w:p>
          <w:p>
            <w:r>
              <w:t xml:space="preserve">Меѓународните правни инструменти содржат аспекти на криминализација на однесувањето, процедурални овластувања (истражни алатки) и меѓународна соработка, вклучително и законската основа за меѓусебна правна помош. </w:t>
            </w:r>
          </w:p>
          <w:p>
            <w:r>
              <w:t xml:space="preserve">Областите на замрзнување и конфискација на имотната корист стекната со кривично дело и перење пари (Конвенција од Варшава) и на компјутерски криминал (Конвенција од Будимпешта) ќе бидат разгледани од глетна точка на меѓународната соработка и меѓусебната правна помош. Конвенциите ги предвидуваат патиштата што може да се користат и комбинираат за да се остварат најефективни резултати кога се спроведува паралелна финансиска истрага и истрага на (компјутерски) криминал. </w:t>
            </w:r>
          </w:p>
          <w:p>
            <w:r>
              <w:t xml:space="preserve">Конвенцијата од Варшава ги утврдува централните органи за истрага, замрзнување и конфискација и за меѓусебна правна помош. Во итни ситуации, се предвидува директна соработка меѓу одговорните судски органи и органи на прогонот (член 34), како и директна соработка меѓу управите за финансиско разузнавање (УФР), вклучително и административно одложување на трансакции. </w:t>
            </w:r>
          </w:p>
          <w:p>
            <w:r>
              <w:t xml:space="preserve">Конвенцијата од Будимпешта предвидува мрежа 24/7 за соработка (на нивото на полицијата и/или обвинителствата) и овозможува барања за зачувување податоци и собирање докази. </w:t>
            </w:r>
          </w:p>
          <w:p>
            <w:r>
              <w:t>Исто така, може да се користи традиционалната Конвенција за меѓусебна правна помош во кривичната материја со нејзините протоколи.</w:t>
            </w:r>
          </w:p>
        </w:tc>
      </w:tr>
      <w:tr>
        <w:trPr>
          <w:trHeight w:val="800"/>
        </w:trPr>
        <w:tc>
          <w:tcPr>
            <w:tcW w:w="1615" w:type="dxa"/>
          </w:tcPr>
          <w:p>
            <w:pPr>
              <w:rPr>
                <w:color w:val="000000" w:themeColor="text1"/>
              </w:rPr>
            </w:pPr>
            <w:r>
              <w:lastRenderedPageBreak/>
              <w:t>Слајд 9</w:t>
            </w:r>
          </w:p>
        </w:tc>
        <w:tc>
          <w:tcPr>
            <w:tcW w:w="7395" w:type="dxa"/>
            <w:gridSpan w:val="2"/>
          </w:tcPr>
          <w:p>
            <w:pPr>
              <w:rPr>
                <w:rFonts w:eastAsia="Times New Roman" w:cs="Times New Roman"/>
              </w:rPr>
            </w:pPr>
            <w:r>
              <w:t>Ќе бидат презентирани релевантните одредби за меѓународна соработка што се достапни во согласност со конвенциите од Варшава и од Будимпешта за да се овозможи идентификација на соодветни можности кога се комбинира истрага за компјутерски криминал, финансиска истрага и (превенција) и истрага на перење пари. Соработката се применува во согласност со националните одредби и со заштитни мерки за одложување или за одбивање на барање (Конвенција од Варшава, Дел 5, член 27 и Конвенција од Будимпешта, членови 25/4, 27/4 и 5). Со член 24 од Конвенцијата од Будимпешта се регулира и екстрадицијата.</w:t>
            </w:r>
          </w:p>
        </w:tc>
      </w:tr>
      <w:tr>
        <w:trPr>
          <w:trHeight w:val="800"/>
        </w:trPr>
        <w:tc>
          <w:tcPr>
            <w:tcW w:w="1615" w:type="dxa"/>
          </w:tcPr>
          <w:p>
            <w:pPr>
              <w:rPr>
                <w:color w:val="000000" w:themeColor="text1"/>
              </w:rPr>
            </w:pPr>
            <w:r>
              <w:lastRenderedPageBreak/>
              <w:t>Слајд 10-14</w:t>
            </w:r>
          </w:p>
        </w:tc>
        <w:tc>
          <w:tcPr>
            <w:tcW w:w="7395" w:type="dxa"/>
            <w:gridSpan w:val="2"/>
          </w:tcPr>
          <w:p>
            <w:r>
              <w:t>Општи принципи и мерки за меѓународна соработка</w:t>
            </w:r>
          </w:p>
          <w:p>
            <w:r>
              <w:t>(Конвенција од Варшава, член 15)</w:t>
            </w:r>
          </w:p>
          <w:p>
            <w:r>
              <w:t xml:space="preserve">Страните меѓусебно соработуваат за цели на истраги и постапки со цел конфискација на средствата и на имотната корист. Страните треба да се придржуваат до барања за конфискација на посебни предмети или барања за плаќање определена сума пари соодветно на вредноста на имотната корист, како и за помош во истрагата и привремени мерки, со цел на која било форма на конфискација. </w:t>
            </w:r>
          </w:p>
          <w:p>
            <w:r>
              <w:t xml:space="preserve">(Конвенција од Будимпешта, членови 23 и 25) </w:t>
            </w:r>
          </w:p>
          <w:p>
            <w:r>
              <w:t>Страните даваат меѓусебна помош за цели на истраги или на постапки во врска со кривични дела поврзани со компјутерски системи и податоци или за собирање докази во електронска форма за кривичното дело.</w:t>
            </w:r>
          </w:p>
          <w:p>
            <w:r>
              <w:t xml:space="preserve">Помош во истрагата </w:t>
            </w:r>
          </w:p>
          <w:p>
            <w:pPr>
              <w:rPr>
                <w:bCs/>
              </w:rPr>
            </w:pPr>
            <w:r>
              <w:t xml:space="preserve">(Конвенција од Варшава, членови 16 – 20) </w:t>
            </w:r>
            <w:r>
              <w:rPr>
                <w:lang w:val="mk-MK"/>
              </w:rPr>
              <w:t>Страните</w:t>
            </w:r>
            <w:r>
              <w:t xml:space="preserve"> ќе помагаат меѓусебно во идентификација и влегување во трага на средства и на имотна корист, што вклучува обезбедување докази за постоењеѕо, локацијата или за движењето, природата, правниот статус или вредноста на горенаведениот имот. Ваквата помош опфаќа и барања за информации за банкарски сметки, за банкарски трансакции и за мониторинг на банкарските трансакции и доброволно информирање.</w:t>
            </w:r>
          </w:p>
          <w:p>
            <w:r>
              <w:t>(Конвенција од Будимпешта, членови 31-34): Меѓусебна помош во однос на истражните овластувања: Процена на зачувани компјутерски податоци; Прекуграничен пристап до зачувани компјутерски податоци со согласност или кога се јавно достапни; Меѓусебна помош во однос на собирање податоци од сообраќајот во реално време; Меѓусебна помош во однос на пресретнување податоци од содржините.</w:t>
            </w:r>
          </w:p>
          <w:p>
            <w:r>
              <w:t>Доброволно информирање</w:t>
            </w:r>
          </w:p>
          <w:p>
            <w:pPr>
              <w:rPr>
                <w:rFonts w:cs="Arial"/>
              </w:rPr>
            </w:pPr>
            <w:r>
              <w:t>(Конвенција од Варшава, член 20) и (Конвенција од Будимпешта, член 26): Страната може, во рамките на ограничувањата на своето домашно право и без претходно барање, да проследи до другата страна информации што ги добила во рамките на сопствените истраги кога смета дека обелоденувањето на таквите информации би можело да и помогне на страната што ги прима информациите во започнувањето или спроведувањето истраги или на постапки во однос на кривични дела утврдени во согласност со Конвенцијата, или би можело да доведе до барање за соработка од таа страна во согласност со ова поглавје. (2...)</w:t>
            </w:r>
          </w:p>
          <w:p>
            <w:r>
              <w:t xml:space="preserve">Привремени мерки </w:t>
            </w:r>
          </w:p>
          <w:p>
            <w:pPr>
              <w:rPr>
                <w:bCs/>
              </w:rPr>
            </w:pPr>
            <w:r>
              <w:t xml:space="preserve">(Конвенција од Варшава, членови 21-22): </w:t>
            </w:r>
            <w:r>
              <w:rPr>
                <w:lang w:val="mk-MK"/>
              </w:rPr>
              <w:t>Страните</w:t>
            </w:r>
            <w:r>
              <w:t xml:space="preserve"> преземаат привремени мерки, како што е </w:t>
            </w:r>
            <w:r>
              <w:rPr>
                <w:u w:val="single"/>
              </w:rPr>
              <w:t>замрзнување или запленување</w:t>
            </w:r>
            <w:r>
              <w:t xml:space="preserve">, за да спречат какво било постапување, пренос или располагање со имот и да ги достават </w:t>
            </w:r>
            <w:r>
              <w:rPr>
                <w:u w:val="single"/>
              </w:rPr>
              <w:t>доброволно сите информации што се релевантни</w:t>
            </w:r>
            <w:r>
              <w:t xml:space="preserve"> за привремената мерка. </w:t>
            </w:r>
          </w:p>
          <w:p>
            <w:r>
              <w:t xml:space="preserve">(Конвенција од Будимпешта, членови 29-30): предвидени се следниве мерки: Брзо зачувување на складираните компјутерски податоци, Брзо обелоденување на зачуваните податоци од сообраќајот. </w:t>
            </w:r>
          </w:p>
          <w:p>
            <w:pPr>
              <w:rPr>
                <w:bCs/>
                <w:u w:val="single"/>
              </w:rPr>
            </w:pPr>
            <w:r>
              <w:t xml:space="preserve">Конфискација (Конвенција од Варшава) Од </w:t>
            </w:r>
            <w:r>
              <w:rPr>
                <w:lang w:val="mk-MK"/>
              </w:rPr>
              <w:t>С</w:t>
            </w:r>
            <w:r>
              <w:t xml:space="preserve">траните се бара или да </w:t>
            </w:r>
            <w:r>
              <w:rPr>
                <w:u w:val="single"/>
              </w:rPr>
              <w:t>спроведат налог за конфискација</w:t>
            </w:r>
            <w:r>
              <w:t xml:space="preserve"> или да поднесат барање до своите </w:t>
            </w:r>
            <w:r>
              <w:lastRenderedPageBreak/>
              <w:t xml:space="preserve">надлежни органи за да </w:t>
            </w:r>
            <w:r>
              <w:rPr>
                <w:u w:val="single"/>
              </w:rPr>
              <w:t>добијат налог за конфискација</w:t>
            </w:r>
            <w:r>
              <w:t xml:space="preserve"> и да го спроведат.</w:t>
            </w:r>
            <w:bookmarkStart w:id="0" w:name="_GoBack"/>
            <w:r>
              <w:t xml:space="preserve"> </w:t>
            </w:r>
            <w:bookmarkEnd w:id="0"/>
            <w:r>
              <w:t>Ова вклучува барање за плаќање паричен износ што одговара на вредноста на имотната корист или конфискација на специфичен дел од имот (член 23). Став 5 од член 23 предвидува извршување на судско барање за мерки еквивалентни на конфискација што водат до лишување од сопственост, кои не се кривични санкции (</w:t>
            </w:r>
            <w:r>
              <w:rPr>
                <w:u w:val="single"/>
              </w:rPr>
              <w:t>конфискација што не е заснована на пресуда</w:t>
            </w:r>
            <w:r>
              <w:t xml:space="preserve">). </w:t>
            </w:r>
          </w:p>
          <w:p/>
          <w:p>
            <w:pPr>
              <w:rPr>
                <w:u w:val="single"/>
              </w:rPr>
            </w:pPr>
            <w:r>
              <w:t xml:space="preserve">Член 25 ги утврдува правилата за споделување на имот: со имотот првенствено располага извршната </w:t>
            </w:r>
            <w:r>
              <w:rPr>
                <w:lang w:val="mk-MK"/>
              </w:rPr>
              <w:t>С</w:t>
            </w:r>
            <w:r>
              <w:t xml:space="preserve">трана, ако од неа не е побарано да даде приоритет и да го врати имотот на </w:t>
            </w:r>
            <w:r>
              <w:rPr>
                <w:lang w:val="mk-MK"/>
              </w:rPr>
              <w:t>С</w:t>
            </w:r>
            <w:r>
              <w:t xml:space="preserve">траната што го поднесува барањето за таа да може да им </w:t>
            </w:r>
            <w:r>
              <w:rPr>
                <w:u w:val="single"/>
              </w:rPr>
              <w:t>надомести на жртвите</w:t>
            </w:r>
            <w:r>
              <w:t xml:space="preserve"> или да го врати имотот на неговите </w:t>
            </w:r>
            <w:r>
              <w:rPr>
                <w:u w:val="single"/>
              </w:rPr>
              <w:t>легитимни сопственици</w:t>
            </w:r>
            <w:r>
              <w:t>.</w:t>
            </w:r>
          </w:p>
          <w:p>
            <w:r>
              <w:t>Изземање од директната комуникација</w:t>
            </w:r>
          </w:p>
          <w:p>
            <w:r>
              <w:t xml:space="preserve">(Конвенција од Варшава, член 34) Во случај на итност, во согласност со член 34/2 барањата може да се праќаат директно до правосудните власти, вклучително обвинители, при што примерок треба да се прати преку централните органи. Според член 34/3 барање или комуникација може да се реализра преку (Интерпол). Според член 34/5 барања што не се присилни може да се пренесуваат директно меѓу надлежните органи. Според член 34/6 можна е директна размена на нацрт-барања. </w:t>
            </w:r>
          </w:p>
          <w:p>
            <w:r>
              <w:t xml:space="preserve">(Конвенцијата од Будимпешта, член 27/9) предвидува слична одредба во случај на итност. </w:t>
            </w:r>
          </w:p>
          <w:p>
            <w:r>
              <w:t>Мрежа 24/7</w:t>
            </w:r>
          </w:p>
          <w:p>
            <w:r>
              <w:t xml:space="preserve">(Конвенција од Будимпешта, член 35) Секоја </w:t>
            </w:r>
            <w:r>
              <w:rPr>
                <w:lang w:val="mk-MK"/>
              </w:rPr>
              <w:t>Страна</w:t>
            </w:r>
            <w:r>
              <w:t xml:space="preserve"> ќе именува точка за контакт што ќе биде достапна врз принципот 24/7 (24 часа седум дена во неделата), за да осигура обезбедување итна помош за цели на истрагите или на постапките што се однесуваат на кривични дела поврзани со компјутерски системи и податоци или за собирање електронски докази за кривичното дело. Ваквата помош вклучува олеснување, или ако е дозволено со домашните закони и практика, директно извршување на следниве мерки: давање технички совети; зачувување на податоците во согласност со членовите 29 и 30; собирање докази, обезбедување правни информации и лоцирање на осомничените. </w:t>
            </w:r>
          </w:p>
          <w:p>
            <w:r>
              <w:t>Соработка со УФР</w:t>
            </w:r>
          </w:p>
          <w:p>
            <w:pPr>
              <w:rPr>
                <w:rFonts w:cs="Arial,Bold"/>
                <w:bCs/>
              </w:rPr>
            </w:pPr>
            <w:r>
              <w:t>(Конвемција од Варшава, Поглавје V, членови 46 и 47): УФР, доброволно или на барање, а во согласност со оваа Конвенција или во согласност со постојните или со идните меморандуми за разбирање што се усогласени со оваа Конвенција, ги разменуваат сите достапни информации што може да бидат релевантни за обработката или за анализата на информацијата, или, ако е соодветно, за истрага на информациите од УФР во однос на финансиските трансакции што се однесуваат на перење пари и на вклучените физички или правни лица. Член 47: Одложување сомнителни трансакции од УФР</w:t>
            </w:r>
          </w:p>
        </w:tc>
      </w:tr>
      <w:tr>
        <w:trPr>
          <w:trHeight w:val="800"/>
        </w:trPr>
        <w:tc>
          <w:tcPr>
            <w:tcW w:w="1615" w:type="dxa"/>
          </w:tcPr>
          <w:p>
            <w:pPr>
              <w:rPr>
                <w:color w:val="000000" w:themeColor="text1"/>
              </w:rPr>
            </w:pPr>
            <w:r>
              <w:lastRenderedPageBreak/>
              <w:t>Слајд 15</w:t>
            </w:r>
          </w:p>
        </w:tc>
        <w:tc>
          <w:tcPr>
            <w:tcW w:w="7395" w:type="dxa"/>
            <w:gridSpan w:val="2"/>
          </w:tcPr>
          <w:p>
            <w:r>
              <w:t>Инструкторот треба да разговара со слушателите:</w:t>
            </w:r>
          </w:p>
          <w:p>
            <w:pPr>
              <w:pStyle w:val="ListParagraph"/>
              <w:numPr>
                <w:ilvl w:val="0"/>
                <w:numId w:val="38"/>
              </w:numPr>
            </w:pPr>
            <w:r>
              <w:t>Кој е националниот централен орган за Конвенцијата од Варшава и за Конвенцијата за компјутерски криминал?</w:t>
            </w:r>
          </w:p>
          <w:p>
            <w:pPr>
              <w:pStyle w:val="ListParagraph"/>
              <w:numPr>
                <w:ilvl w:val="0"/>
                <w:numId w:val="38"/>
              </w:numPr>
            </w:pPr>
            <w:r>
              <w:lastRenderedPageBreak/>
              <w:t xml:space="preserve">Која е точката за контакт за CARIN, </w:t>
            </w:r>
            <w:r>
              <w:rPr>
                <w:lang w:val="mk-MK"/>
              </w:rPr>
              <w:t>Групата ЕГМОНТ</w:t>
            </w:r>
            <w:r>
              <w:t xml:space="preserve"> и за мрежата 24/7?</w:t>
            </w:r>
          </w:p>
          <w:p>
            <w:pPr>
              <w:pStyle w:val="ListParagraph"/>
              <w:numPr>
                <w:ilvl w:val="0"/>
                <w:numId w:val="38"/>
              </w:numPr>
            </w:pPr>
            <w:r>
              <w:t>Дали е утврден ARO?</w:t>
            </w:r>
          </w:p>
          <w:p>
            <w:pPr>
              <w:pStyle w:val="ListParagraph"/>
              <w:numPr>
                <w:ilvl w:val="0"/>
                <w:numId w:val="38"/>
              </w:numPr>
            </w:pPr>
            <w:r>
              <w:t xml:space="preserve">Кој е националниот член на Конференцијата на </w:t>
            </w:r>
            <w:r>
              <w:rPr>
                <w:lang w:val="mk-MK"/>
              </w:rPr>
              <w:t>С</w:t>
            </w:r>
            <w:r>
              <w:t>траните на CETS 198, MONEYVAL и T-CY?</w:t>
            </w:r>
          </w:p>
          <w:p>
            <w:r>
              <w:t>Национално право за:</w:t>
            </w:r>
          </w:p>
          <w:p>
            <w:pPr>
              <w:pStyle w:val="ListParagraph"/>
              <w:numPr>
                <w:ilvl w:val="0"/>
                <w:numId w:val="39"/>
              </w:numPr>
            </w:pPr>
            <w:r>
              <w:t xml:space="preserve">JIT, паралелна истрага, </w:t>
            </w:r>
          </w:p>
          <w:p>
            <w:pPr>
              <w:rPr>
                <w:rFonts w:eastAsia="Times New Roman" w:cs="Times New Roman"/>
              </w:rPr>
            </w:pPr>
            <w:r>
              <w:t xml:space="preserve">Меѓусебна правна помош </w:t>
            </w:r>
          </w:p>
        </w:tc>
      </w:tr>
      <w:tr>
        <w:trPr>
          <w:trHeight w:val="800"/>
        </w:trPr>
        <w:tc>
          <w:tcPr>
            <w:tcW w:w="1615" w:type="dxa"/>
          </w:tcPr>
          <w:p>
            <w:pPr>
              <w:rPr>
                <w:color w:val="000000" w:themeColor="text1"/>
              </w:rPr>
            </w:pPr>
            <w:r>
              <w:lastRenderedPageBreak/>
              <w:t>Слајдови 16-32</w:t>
            </w:r>
          </w:p>
        </w:tc>
        <w:tc>
          <w:tcPr>
            <w:tcW w:w="7395" w:type="dxa"/>
            <w:gridSpan w:val="2"/>
          </w:tcPr>
          <w:p>
            <w:pPr>
              <w:rPr>
                <w:rFonts w:eastAsia="Times New Roman" w:cs="Times New Roman"/>
              </w:rPr>
            </w:pPr>
            <w:r>
              <w:t>На овие слајдови се наведени практични проблеми што може да се доживеат во текот на каква било активност за меѓународна соработка. Инструкторот треба да ги користи овие слајдови за да им ги прикаже на делегатите различните фактори што треба да ги земат предвид кога ги остваруваат своите овластувања за овозможување меѓународна соработка.</w:t>
            </w:r>
          </w:p>
        </w:tc>
      </w:tr>
      <w:tr>
        <w:trPr>
          <w:trHeight w:val="800"/>
        </w:trPr>
        <w:tc>
          <w:tcPr>
            <w:tcW w:w="1615" w:type="dxa"/>
          </w:tcPr>
          <w:p>
            <w:pPr>
              <w:rPr>
                <w:color w:val="000000" w:themeColor="text1"/>
              </w:rPr>
            </w:pPr>
            <w:r>
              <w:t>Слајд 33</w:t>
            </w:r>
          </w:p>
        </w:tc>
        <w:tc>
          <w:tcPr>
            <w:tcW w:w="7395" w:type="dxa"/>
            <w:gridSpan w:val="2"/>
          </w:tcPr>
          <w:p>
            <w:r>
              <w:t>Инструкторот треба да разговара со учесниците:</w:t>
            </w:r>
          </w:p>
          <w:p>
            <w:pPr>
              <w:pStyle w:val="ListParagraph"/>
              <w:numPr>
                <w:ilvl w:val="0"/>
                <w:numId w:val="40"/>
              </w:numPr>
            </w:pPr>
            <w:r>
              <w:t>Кои домашни органи се вклучени во меѓународната соработка: размена на информации, меѓусебна правна помош и одложување на трансакции?</w:t>
            </w:r>
          </w:p>
          <w:p>
            <w:pPr>
              <w:pStyle w:val="ListParagraph"/>
              <w:numPr>
                <w:ilvl w:val="0"/>
                <w:numId w:val="40"/>
              </w:numPr>
            </w:pPr>
            <w:r>
              <w:t>Релевантните мрежи и организации? Кои се националните точки за контакт?</w:t>
            </w:r>
          </w:p>
          <w:p>
            <w:pPr>
              <w:pStyle w:val="ListParagraph"/>
              <w:numPr>
                <w:ilvl w:val="0"/>
                <w:numId w:val="40"/>
              </w:numPr>
            </w:pPr>
            <w:r>
              <w:t>Кој е централниот орган за Конвенцијата од Варшава и за Конвенцијата од Будимпешта?</w:t>
            </w:r>
          </w:p>
          <w:p>
            <w:pPr>
              <w:pStyle w:val="ListParagraph"/>
              <w:numPr>
                <w:ilvl w:val="0"/>
                <w:numId w:val="40"/>
              </w:numPr>
            </w:pPr>
            <w:r>
              <w:t>Кои информации може да се побараат и кои процедурални барања може да се дадат врз основа на Конвенцијата од Варшава и на Конвенцијата од Будимпешта?</w:t>
            </w:r>
          </w:p>
          <w:p>
            <w:pPr>
              <w:pStyle w:val="ListParagraph"/>
              <w:numPr>
                <w:ilvl w:val="0"/>
                <w:numId w:val="40"/>
              </w:numPr>
            </w:pPr>
            <w:r>
              <w:t>Кое е релевантното национално законодавство за меѓународна соработка (полиција, обвинители, меѓусебна правна помош)?</w:t>
            </w:r>
          </w:p>
          <w:p>
            <w:pPr>
              <w:pStyle w:val="ListParagraph"/>
              <w:numPr>
                <w:ilvl w:val="0"/>
                <w:numId w:val="40"/>
              </w:numPr>
            </w:pPr>
            <w:r>
              <w:t xml:space="preserve">Каква е практиката со директната соработка со провајдери на интернет-услуги во САД? </w:t>
            </w:r>
          </w:p>
          <w:p>
            <w:pPr>
              <w:pStyle w:val="ListParagraph"/>
              <w:numPr>
                <w:ilvl w:val="0"/>
                <w:numId w:val="40"/>
              </w:numPr>
            </w:pPr>
            <w:r>
              <w:t>Податоци за меѓусебна правна помош/СТАТИСТИЧКИ ПОДАТОЦИ (дојдовни/појдовни)?</w:t>
            </w:r>
          </w:p>
          <w:p>
            <w:pPr>
              <w:pStyle w:val="ListParagraph"/>
              <w:numPr>
                <w:ilvl w:val="0"/>
                <w:numId w:val="39"/>
              </w:numPr>
            </w:pPr>
            <w:r>
              <w:t>Број на прекугранични финансиски истраги и размена на информации</w:t>
            </w:r>
          </w:p>
          <w:p>
            <w:pPr>
              <w:pStyle w:val="ListParagraph"/>
              <w:numPr>
                <w:ilvl w:val="0"/>
                <w:numId w:val="39"/>
              </w:numPr>
            </w:pPr>
            <w:r>
              <w:t>Број барања за меѓусебна правна помош за налози за банкарски податоци (влезни/излезни)</w:t>
            </w:r>
          </w:p>
          <w:p>
            <w:pPr>
              <w:pStyle w:val="ListParagraph"/>
              <w:numPr>
                <w:ilvl w:val="0"/>
                <w:numId w:val="39"/>
              </w:numPr>
            </w:pPr>
            <w:r>
              <w:t>Број барања за меѓусебна правна помош за налози за замрзнување/конфискација (влезни/излезни)</w:t>
            </w:r>
          </w:p>
          <w:p>
            <w:pPr>
              <w:pStyle w:val="ListParagraph"/>
              <w:numPr>
                <w:ilvl w:val="0"/>
                <w:numId w:val="39"/>
              </w:numPr>
              <w:rPr>
                <w:bCs/>
              </w:rPr>
            </w:pPr>
            <w:r>
              <w:t>Број барања за меѓусебна правна помош за компјутерски криминал, меѓусебна правна помош за податоци за претплатници, сообраќај и содржина и за е-докази.</w:t>
            </w:r>
          </w:p>
        </w:tc>
      </w:tr>
      <w:tr>
        <w:trPr>
          <w:trHeight w:val="800"/>
        </w:trPr>
        <w:tc>
          <w:tcPr>
            <w:tcW w:w="1615" w:type="dxa"/>
          </w:tcPr>
          <w:p>
            <w:pPr>
              <w:rPr>
                <w:color w:val="000000" w:themeColor="text1"/>
              </w:rPr>
            </w:pPr>
            <w:r>
              <w:t>Слајд 34</w:t>
            </w:r>
          </w:p>
        </w:tc>
        <w:tc>
          <w:tcPr>
            <w:tcW w:w="7395" w:type="dxa"/>
            <w:gridSpan w:val="2"/>
          </w:tcPr>
          <w:p>
            <w:r>
              <w:t>Вежба</w:t>
            </w:r>
          </w:p>
          <w:p>
            <w:r>
              <w:t>Разговарајте за домашните правни одредби и судската практика за:</w:t>
            </w:r>
          </w:p>
          <w:p>
            <w:pPr>
              <w:pStyle w:val="Style4"/>
            </w:pPr>
            <w:r>
              <w:t>Барања и спроведување меѓусебна правна помош:</w:t>
            </w:r>
          </w:p>
          <w:p>
            <w:pPr>
              <w:pStyle w:val="Style4"/>
            </w:pPr>
            <w:r>
              <w:t>Пристап до банкарски податоци</w:t>
            </w:r>
          </w:p>
          <w:p>
            <w:pPr>
              <w:pStyle w:val="Style4"/>
            </w:pPr>
            <w:r>
              <w:t>Пристап до податоци на провајдери на интернет-услуги за претплатници, сообраќај и за содржина, вклучувајќи и пресретнување</w:t>
            </w:r>
          </w:p>
          <w:p>
            <w:pPr>
              <w:pStyle w:val="Style4"/>
            </w:pPr>
            <w:r>
              <w:t>Барање за зачувување податоци директно до провајдери на интернет-услуги</w:t>
            </w:r>
          </w:p>
          <w:p>
            <w:pPr>
              <w:pStyle w:val="Style4"/>
            </w:pPr>
            <w:r>
              <w:lastRenderedPageBreak/>
              <w:t>Пристап, запленување и форензичка анализа на складирани компјутерски податоци (е-докази)</w:t>
            </w:r>
          </w:p>
          <w:p>
            <w:pPr>
              <w:pStyle w:val="Style4"/>
            </w:pPr>
            <w:r>
              <w:t>Замрзнување на трансакција/имот</w:t>
            </w:r>
          </w:p>
          <w:p>
            <w:pPr>
              <w:pStyle w:val="Style4"/>
            </w:pPr>
            <w:r>
              <w:t>Конфискација на имот</w:t>
            </w:r>
          </w:p>
          <w:p>
            <w:pPr>
              <w:pStyle w:val="Style4"/>
            </w:pPr>
            <w:r>
              <w:t>Споделување на имот</w:t>
            </w:r>
          </w:p>
          <w:p>
            <w:r>
              <w:t>Обезбедете/разговарајте за обрасци/формулари за:</w:t>
            </w:r>
          </w:p>
          <w:p>
            <w:pPr>
              <w:pStyle w:val="Style4"/>
            </w:pPr>
            <w:r>
              <w:t>Барање за меѓусебна правна помош врз основа на националното право во однос на Конвенцијата од Будимпешта и на Конвенцијата од Варшава</w:t>
            </w:r>
          </w:p>
          <w:p>
            <w:pPr>
              <w:pStyle w:val="Style4"/>
            </w:pPr>
            <w:r>
              <w:t>Брзо зачувување на складираните компјутерски податоци и обелоденување на податоците од сообраќајот</w:t>
            </w:r>
          </w:p>
          <w:p>
            <w:pPr>
              <w:pStyle w:val="Style4"/>
            </w:pPr>
            <w:r>
              <w:t>Барање за зачувување директно до провајдерот на интернет-услуги</w:t>
            </w:r>
          </w:p>
          <w:p>
            <w:pPr>
              <w:pStyle w:val="Style4"/>
            </w:pPr>
            <w:r>
              <w:t>Барање преку мрежата 24/7 (Конвенција од Будимпешта)</w:t>
            </w:r>
          </w:p>
          <w:p>
            <w:pPr>
              <w:pStyle w:val="Style4"/>
            </w:pPr>
            <w:r>
              <w:t>Барање од УФР за одложување финансиска трансакција во странство.</w:t>
            </w:r>
          </w:p>
        </w:tc>
      </w:tr>
      <w:tr>
        <w:trPr>
          <w:trHeight w:val="800"/>
        </w:trPr>
        <w:tc>
          <w:tcPr>
            <w:tcW w:w="1615" w:type="dxa"/>
          </w:tcPr>
          <w:p>
            <w:pPr>
              <w:rPr>
                <w:color w:val="000000" w:themeColor="text1"/>
              </w:rPr>
            </w:pPr>
            <w:r>
              <w:lastRenderedPageBreak/>
              <w:t>Слајд 35</w:t>
            </w:r>
          </w:p>
        </w:tc>
        <w:tc>
          <w:tcPr>
            <w:tcW w:w="7395" w:type="dxa"/>
            <w:gridSpan w:val="2"/>
          </w:tcPr>
          <w:p>
            <w:pPr>
              <w:rPr>
                <w:rFonts w:eastAsia="Times New Roman" w:cs="Times New Roman"/>
              </w:rPr>
            </w:pPr>
            <w:r>
              <w:t>Инструкторот треба да направи рекапитулар на целите на сесијата со учесниците за да им даде можност да поставуваат прашања во однос на материјалите опфатени во овој модул.</w:t>
            </w:r>
          </w:p>
        </w:tc>
      </w:tr>
      <w:tr>
        <w:trPr>
          <w:trHeight w:val="864"/>
        </w:trPr>
        <w:tc>
          <w:tcPr>
            <w:tcW w:w="9010" w:type="dxa"/>
            <w:gridSpan w:val="3"/>
            <w:vAlign w:val="center"/>
          </w:tcPr>
          <w:p>
            <w:pPr>
              <w:rPr>
                <w:b/>
                <w:sz w:val="22"/>
                <w:szCs w:val="22"/>
              </w:rPr>
            </w:pPr>
            <w:r>
              <w:rPr>
                <w:b/>
                <w:bCs/>
                <w:sz w:val="22"/>
                <w:szCs w:val="22"/>
              </w:rPr>
              <w:t>Практични вежби</w:t>
            </w:r>
          </w:p>
          <w:p>
            <w:r>
              <w:t>За оваа лекција не се предвидени практични вежби.</w:t>
            </w:r>
          </w:p>
        </w:tc>
      </w:tr>
      <w:tr>
        <w:tc>
          <w:tcPr>
            <w:tcW w:w="9010" w:type="dxa"/>
            <w:gridSpan w:val="3"/>
            <w:vAlign w:val="center"/>
          </w:tcPr>
          <w:p>
            <w:pPr>
              <w:rPr>
                <w:b/>
                <w:sz w:val="22"/>
                <w:szCs w:val="22"/>
              </w:rPr>
            </w:pPr>
            <w:r>
              <w:rPr>
                <w:b/>
                <w:bCs/>
                <w:sz w:val="22"/>
                <w:szCs w:val="22"/>
              </w:rPr>
              <w:t>Оценување/Проверка на знаењето</w:t>
            </w:r>
          </w:p>
          <w:p>
            <w:r>
              <w:t>За оваа лекција не се подготвени никакви проверки на знаењето или оценување.</w:t>
            </w:r>
          </w:p>
        </w:tc>
      </w:tr>
    </w:tbl>
    <w:p/>
    <w:sectPr>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Verdana Bold">
    <w:altName w:val="Verdana"/>
    <w:panose1 w:val="020B0804030504040204"/>
    <w:charset w:val="00"/>
    <w:family w:val="auto"/>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F3E52"/>
    <w:multiLevelType w:val="hybridMultilevel"/>
    <w:tmpl w:val="1FB48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8538A"/>
    <w:multiLevelType w:val="hybridMultilevel"/>
    <w:tmpl w:val="5BBA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8B02A7"/>
    <w:multiLevelType w:val="hybridMultilevel"/>
    <w:tmpl w:val="D8EA3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463D37"/>
    <w:multiLevelType w:val="hybridMultilevel"/>
    <w:tmpl w:val="4338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CD72A4"/>
    <w:multiLevelType w:val="hybridMultilevel"/>
    <w:tmpl w:val="2954CAD6"/>
    <w:lvl w:ilvl="0" w:tplc="46685A00">
      <w:start w:val="1"/>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724DC"/>
    <w:multiLevelType w:val="hybridMultilevel"/>
    <w:tmpl w:val="642C6C28"/>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18">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22">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3613BF"/>
    <w:multiLevelType w:val="hybridMultilevel"/>
    <w:tmpl w:val="83A2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2371ED"/>
    <w:multiLevelType w:val="hybridMultilevel"/>
    <w:tmpl w:val="C75A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610D88"/>
    <w:multiLevelType w:val="hybridMultilevel"/>
    <w:tmpl w:val="A7DA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20"/>
  </w:num>
  <w:num w:numId="4">
    <w:abstractNumId w:val="18"/>
  </w:num>
  <w:num w:numId="5">
    <w:abstractNumId w:val="19"/>
  </w:num>
  <w:num w:numId="6">
    <w:abstractNumId w:val="41"/>
  </w:num>
  <w:num w:numId="7">
    <w:abstractNumId w:val="12"/>
  </w:num>
  <w:num w:numId="8">
    <w:abstractNumId w:val="28"/>
  </w:num>
  <w:num w:numId="9">
    <w:abstractNumId w:val="23"/>
  </w:num>
  <w:num w:numId="10">
    <w:abstractNumId w:val="26"/>
  </w:num>
  <w:num w:numId="11">
    <w:abstractNumId w:val="27"/>
  </w:num>
  <w:num w:numId="12">
    <w:abstractNumId w:val="31"/>
  </w:num>
  <w:num w:numId="13">
    <w:abstractNumId w:val="37"/>
  </w:num>
  <w:num w:numId="14">
    <w:abstractNumId w:val="25"/>
  </w:num>
  <w:num w:numId="15">
    <w:abstractNumId w:val="17"/>
  </w:num>
  <w:num w:numId="16">
    <w:abstractNumId w:val="21"/>
  </w:num>
  <w:num w:numId="17">
    <w:abstractNumId w:val="13"/>
  </w:num>
  <w:num w:numId="18">
    <w:abstractNumId w:val="30"/>
  </w:num>
  <w:num w:numId="19">
    <w:abstractNumId w:val="36"/>
  </w:num>
  <w:num w:numId="20">
    <w:abstractNumId w:val="5"/>
  </w:num>
  <w:num w:numId="21">
    <w:abstractNumId w:val="40"/>
  </w:num>
  <w:num w:numId="22">
    <w:abstractNumId w:val="10"/>
  </w:num>
  <w:num w:numId="23">
    <w:abstractNumId w:val="22"/>
  </w:num>
  <w:num w:numId="24">
    <w:abstractNumId w:val="0"/>
  </w:num>
  <w:num w:numId="25">
    <w:abstractNumId w:val="33"/>
  </w:num>
  <w:num w:numId="26">
    <w:abstractNumId w:val="16"/>
  </w:num>
  <w:num w:numId="27">
    <w:abstractNumId w:val="1"/>
  </w:num>
  <w:num w:numId="28">
    <w:abstractNumId w:val="3"/>
  </w:num>
  <w:num w:numId="29">
    <w:abstractNumId w:val="34"/>
  </w:num>
  <w:num w:numId="30">
    <w:abstractNumId w:val="24"/>
  </w:num>
  <w:num w:numId="31">
    <w:abstractNumId w:val="35"/>
  </w:num>
  <w:num w:numId="32">
    <w:abstractNumId w:val="6"/>
  </w:num>
  <w:num w:numId="33">
    <w:abstractNumId w:val="14"/>
  </w:num>
  <w:num w:numId="34">
    <w:abstractNumId w:val="11"/>
  </w:num>
  <w:num w:numId="35">
    <w:abstractNumId w:val="9"/>
  </w:num>
  <w:num w:numId="36">
    <w:abstractNumId w:val="2"/>
  </w:num>
  <w:num w:numId="37">
    <w:abstractNumId w:val="39"/>
  </w:num>
  <w:num w:numId="38">
    <w:abstractNumId w:val="32"/>
  </w:num>
  <w:num w:numId="39">
    <w:abstractNumId w:val="8"/>
  </w:num>
  <w:num w:numId="40">
    <w:abstractNumId w:val="4"/>
  </w:num>
  <w:num w:numId="41">
    <w:abstractNumId w:val="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80" w:lineRule="exact"/>
      <w:jc w:val="both"/>
    </w:pPr>
    <w:rPr>
      <w:rFonts w:ascii="Verdana" w:hAnsi="Verdan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pPr>
      <w:ind w:left="720"/>
      <w:contextualSpacing/>
    </w:pPr>
  </w:style>
  <w:style w:type="paragraph" w:customStyle="1" w:styleId="bul1">
    <w:name w:val="bul1"/>
    <w:basedOn w:val="Normal"/>
    <w:link w:val="bul1Char"/>
    <w:qFormat/>
    <w:pPr>
      <w:spacing w:line="280" w:lineRule="atLeast"/>
    </w:pPr>
    <w:rPr>
      <w:rFonts w:eastAsia="Calibri" w:cs="Times New Roman"/>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basedOn w:val="DefaultParagraphFont"/>
    <w:uiPriority w:val="99"/>
    <w:unhideWhenUsed/>
    <w:rPr>
      <w:color w:val="0563C1" w:themeColor="hyperlink"/>
      <w:u w:val="single"/>
    </w:rPr>
  </w:style>
  <w:style w:type="paragraph" w:styleId="Subtitle">
    <w:name w:val="Subtitle"/>
    <w:basedOn w:val="Normal"/>
    <w:next w:val="Normal"/>
    <w:link w:val="SubtitleChar"/>
    <w:uiPriority w:val="11"/>
    <w:qFormat/>
    <w:pPr>
      <w:numPr>
        <w:ilvl w:val="1"/>
      </w:numPr>
      <w:spacing w:before="20" w:line="280" w:lineRule="atLeast"/>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pPr>
      <w:spacing w:line="260" w:lineRule="atLeast"/>
    </w:pPr>
    <w:rPr>
      <w:rFonts w:eastAsia="Calibri"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style>
  <w:style w:type="paragraph" w:styleId="NormalWeb">
    <w:name w:val="Normal (Web)"/>
    <w:basedOn w:val="Normal"/>
    <w:uiPriority w:val="99"/>
    <w:pPr>
      <w:spacing w:before="100" w:beforeAutospacing="1" w:after="100" w:afterAutospacing="1" w:line="260" w:lineRule="atLeast"/>
    </w:pPr>
    <w:rPr>
      <w:rFonts w:ascii="Times New Roman" w:eastAsia="Calibri" w:hAnsi="Times New Roman" w:cs="Times New Roman"/>
    </w:rPr>
  </w:style>
  <w:style w:type="paragraph" w:customStyle="1" w:styleId="Style4">
    <w:name w:val="Style4"/>
    <w:basedOn w:val="ListParagraph"/>
    <w:link w:val="Style4Char"/>
    <w:qFormat/>
    <w:pPr>
      <w:keepNext/>
      <w:numPr>
        <w:numId w:val="1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outlineLvl w:val="4"/>
    </w:pPr>
    <w:rPr>
      <w:rFonts w:eastAsia="Times New Roman" w:cs="Times New Roman"/>
    </w:rPr>
  </w:style>
  <w:style w:type="character" w:customStyle="1" w:styleId="Style4Char">
    <w:name w:val="Style4 Char"/>
    <w:basedOn w:val="ListParagraphChar"/>
    <w:link w:val="Style4"/>
    <w:rPr>
      <w:rFonts w:ascii="Verdana" w:eastAsia="Times New Roman" w:hAnsi="Verdana" w:cs="Times New Roman"/>
      <w:sz w:val="18"/>
      <w:szCs w:val="18"/>
    </w:rPr>
  </w:style>
  <w:style w:type="character" w:customStyle="1" w:styleId="normal10">
    <w:name w:val="normal10"/>
    <w:basedOn w:val="DefaultParagraphFont"/>
  </w:style>
  <w:style w:type="paragraph" w:styleId="BodyText">
    <w:name w:val="Body Text"/>
    <w:aliases w:val="uvlaka 3,uvlaka 2"/>
    <w:basedOn w:val="Normal"/>
    <w:link w:val="BodyTextChar"/>
    <w:pPr>
      <w:spacing w:line="260" w:lineRule="atLeast"/>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Pr>
      <w:rFonts w:ascii="Times New Roman" w:eastAsia="Calibri" w:hAnsi="Times New Roman" w:cs="Times New Roman"/>
      <w:spacing w:val="-3"/>
      <w:sz w:val="20"/>
      <w:szCs w:val="20"/>
      <w:lang w:val="en-US"/>
    </w:rPr>
  </w:style>
  <w:style w:type="paragraph" w:customStyle="1" w:styleId="CM4">
    <w:name w:val="CM4"/>
    <w:basedOn w:val="Normal"/>
    <w:next w:val="Normal"/>
    <w:uiPriority w:val="99"/>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pPr>
      <w:tabs>
        <w:tab w:val="left" w:pos="0"/>
      </w:tabs>
      <w:suppressAutoHyphens/>
      <w:spacing w:line="260" w:lineRule="atLeast"/>
    </w:pPr>
    <w:rPr>
      <w:rFonts w:ascii="Times New Roman" w:eastAsia="Calibri" w:hAnsi="Times New Roman" w:cs="Times New Roman"/>
      <w:b/>
      <w:sz w:val="20"/>
      <w:szCs w:val="20"/>
    </w:rPr>
  </w:style>
  <w:style w:type="character" w:customStyle="1" w:styleId="BodyText2Char">
    <w:name w:val="Body Text 2 Char"/>
    <w:basedOn w:val="DefaultParagraphFont"/>
    <w:link w:val="BodyText2"/>
    <w:rPr>
      <w:rFonts w:ascii="Times New Roman" w:eastAsia="Calibri" w:hAnsi="Times New Roman" w:cs="Times New Roman"/>
      <w:b/>
      <w:sz w:val="20"/>
      <w:szCs w:val="20"/>
    </w:rPr>
  </w:style>
  <w:style w:type="paragraph" w:styleId="Header">
    <w:name w:val="header"/>
    <w:basedOn w:val="Normal"/>
    <w:link w:val="HeaderChar"/>
    <w:pPr>
      <w:tabs>
        <w:tab w:val="center" w:pos="4536"/>
        <w:tab w:val="right" w:pos="9072"/>
      </w:tabs>
      <w:spacing w:line="260" w:lineRule="atLeast"/>
    </w:pPr>
    <w:rPr>
      <w:rFonts w:ascii="Calibri" w:eastAsia="Calibri" w:hAnsi="Calibri" w:cs="Times New Roman"/>
      <w:sz w:val="20"/>
      <w:szCs w:val="20"/>
    </w:rPr>
  </w:style>
  <w:style w:type="character" w:customStyle="1" w:styleId="HeaderChar">
    <w:name w:val="Header Char"/>
    <w:basedOn w:val="DefaultParagraphFont"/>
    <w:link w:val="Header"/>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carin-network.org/" TargetMode="External"/><Relationship Id="rId13" Type="http://schemas.openxmlformats.org/officeDocument/2006/relationships/hyperlink" Target="http://www.coe.int/t/dghl/monitoring/cop198/about/about_en.asp"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oe.int/t/dghl/monitoring/moneyva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atf-gafi.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ccseesecretariat.si/" TargetMode="External"/><Relationship Id="rId5" Type="http://schemas.openxmlformats.org/officeDocument/2006/relationships/webSettings" Target="webSettings.xml"/><Relationship Id="rId15" Type="http://schemas.openxmlformats.org/officeDocument/2006/relationships/hyperlink" Target="http://www.coe.int/t/DGHL/STANDARDSETTING/PC-OC/" TargetMode="External"/><Relationship Id="rId10" Type="http://schemas.openxmlformats.org/officeDocument/2006/relationships/hyperlink" Target="http://www.selec.org/" TargetMode="External"/><Relationship Id="rId4" Type="http://schemas.openxmlformats.org/officeDocument/2006/relationships/settings" Target="settings.xml"/><Relationship Id="rId9" Type="http://schemas.openxmlformats.org/officeDocument/2006/relationships/hyperlink" Target="https://egmontgroup.org/en" TargetMode="External"/><Relationship Id="rId14" Type="http://schemas.openxmlformats.org/officeDocument/2006/relationships/hyperlink" Target="http://www.coe.int/en/web/cybercrime/t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4467</Words>
  <Characters>25465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29873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Alkemist</cp:lastModifiedBy>
  <cp:revision>26</cp:revision>
  <dcterms:created xsi:type="dcterms:W3CDTF">2017-06-17T10:47:00Z</dcterms:created>
  <dcterms:modified xsi:type="dcterms:W3CDTF">2017-11-09T19:39:00Z</dcterms:modified>
</cp:coreProperties>
</file>